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8F5" w:rsidRDefault="00DC79DC">
      <w:pPr>
        <w:spacing w:after="80"/>
        <w:jc w:val="center"/>
      </w:pPr>
      <w:bookmarkStart w:id="0" w:name="_GoBack"/>
      <w:bookmarkEnd w:id="0"/>
      <w:r>
        <w:rPr>
          <w:rFonts w:ascii="Georgia" w:eastAsia="Georgia" w:hAnsi="Georgia" w:cs="Georgia"/>
          <w:b/>
          <w:bCs/>
          <w:color w:val="3C1642"/>
          <w:sz w:val="36"/>
          <w:szCs w:val="36"/>
        </w:rPr>
        <w:t>ACTIVIDAD GRUPAL</w:t>
      </w:r>
    </w:p>
    <w:p w:rsidR="00AB78F5" w:rsidRDefault="00DC79DC">
      <w:pPr>
        <w:spacing w:after="120"/>
        <w:jc w:val="center"/>
      </w:pPr>
      <w:r>
        <w:rPr>
          <w:rFonts w:ascii="Georgia" w:eastAsia="Georgia" w:hAnsi="Georgia" w:cs="Georgia"/>
          <w:color w:val="5C2D82"/>
          <w:sz w:val="26"/>
          <w:szCs w:val="26"/>
        </w:rPr>
        <w:t>La Conciencia Religiosa y la Experiencia Humana de Dios</w:t>
      </w:r>
    </w:p>
    <w:p w:rsidR="00AB78F5" w:rsidRDefault="00DC79DC">
      <w:pPr>
        <w:pBdr>
          <w:bottom w:val="single" w:sz="6" w:space="8" w:color="B8860B"/>
        </w:pBdr>
        <w:spacing w:after="200"/>
        <w:jc w:val="center"/>
      </w:pPr>
      <w:r>
        <w:rPr>
          <w:color w:val="8A7968"/>
          <w:sz w:val="20"/>
          <w:szCs w:val="20"/>
        </w:rPr>
        <w:t xml:space="preserve">Teología </w:t>
      </w:r>
      <w:proofErr w:type="gramStart"/>
      <w:r>
        <w:rPr>
          <w:color w:val="8A7968"/>
          <w:sz w:val="20"/>
          <w:szCs w:val="20"/>
        </w:rPr>
        <w:t>Fundamental  |</w:t>
      </w:r>
      <w:proofErr w:type="gramEnd"/>
      <w:r>
        <w:rPr>
          <w:color w:val="8A7968"/>
          <w:sz w:val="20"/>
          <w:szCs w:val="20"/>
        </w:rPr>
        <w:t xml:space="preserve">  Nivel de Licenciatura</w:t>
      </w:r>
    </w:p>
    <w:p w:rsidR="00AB78F5" w:rsidRDefault="00DC79DC">
      <w:pPr>
        <w:pStyle w:val="Ttulo1"/>
      </w:pPr>
      <w:r>
        <w:t>Instrucciones generales</w:t>
      </w:r>
    </w:p>
    <w:p w:rsidR="00AB78F5" w:rsidRDefault="00DC79DC">
      <w:pPr>
        <w:spacing w:after="120"/>
      </w:pPr>
      <w:r>
        <w:t xml:space="preserve">Esta actividad busca que los estudiantes analicen textos fundamentales del Magisterio católico sobre la experiencia religiosa y la conciencia del ser humano como ser abierto a Dios. Cada grupo recibirá un texto diferente y deberá responder a las preguntas </w:t>
      </w:r>
      <w:r>
        <w:t>guía para luego compartir sus conclusiones con el pleno.</w:t>
      </w:r>
    </w:p>
    <w:p w:rsidR="00AB78F5" w:rsidRDefault="00DC79DC">
      <w:pPr>
        <w:pStyle w:val="Ttulo2"/>
      </w:pPr>
      <w:r>
        <w:t>Dinámica</w:t>
      </w:r>
    </w:p>
    <w:p w:rsidR="00AB78F5" w:rsidRDefault="00DC79DC">
      <w:pPr>
        <w:pStyle w:val="Prrafodelista"/>
        <w:numPr>
          <w:ilvl w:val="0"/>
          <w:numId w:val="2"/>
        </w:numPr>
        <w:spacing w:after="60"/>
      </w:pPr>
      <w:r>
        <w:rPr>
          <w:b/>
          <w:bCs/>
        </w:rPr>
        <w:t xml:space="preserve">Formación de grupos: </w:t>
      </w:r>
      <w:r>
        <w:t>Dividir la clase en 4 grupos de 4-5 personas.</w:t>
      </w:r>
    </w:p>
    <w:p w:rsidR="00AB78F5" w:rsidRDefault="00DC79DC">
      <w:pPr>
        <w:pStyle w:val="Prrafodelista"/>
        <w:numPr>
          <w:ilvl w:val="0"/>
          <w:numId w:val="2"/>
        </w:numPr>
        <w:spacing w:after="60"/>
      </w:pPr>
      <w:r>
        <w:rPr>
          <w:b/>
          <w:bCs/>
        </w:rPr>
        <w:t xml:space="preserve">Lectura y análisis: </w:t>
      </w:r>
      <w:r>
        <w:t>Cada grupo lee su texto asignado y responde las preguntas guía (10 minutos).</w:t>
      </w:r>
    </w:p>
    <w:p w:rsidR="00AB78F5" w:rsidRDefault="00DC79DC">
      <w:pPr>
        <w:pStyle w:val="Prrafodelista"/>
        <w:numPr>
          <w:ilvl w:val="0"/>
          <w:numId w:val="2"/>
        </w:numPr>
        <w:spacing w:after="60"/>
      </w:pPr>
      <w:r>
        <w:rPr>
          <w:b/>
          <w:bCs/>
        </w:rPr>
        <w:t xml:space="preserve">Presentación: </w:t>
      </w:r>
      <w:r>
        <w:t>Un represent</w:t>
      </w:r>
      <w:r>
        <w:t>ante de cada grupo expone las conclusiones al pleno (2-3 minutos por grupo).</w:t>
      </w:r>
    </w:p>
    <w:p w:rsidR="00AB78F5" w:rsidRDefault="00DC79DC">
      <w:pPr>
        <w:pStyle w:val="Prrafodelista"/>
        <w:numPr>
          <w:ilvl w:val="0"/>
          <w:numId w:val="2"/>
        </w:numPr>
        <w:spacing w:after="200"/>
      </w:pPr>
      <w:r>
        <w:rPr>
          <w:b/>
          <w:bCs/>
        </w:rPr>
        <w:t xml:space="preserve">Discusión general: </w:t>
      </w:r>
      <w:r>
        <w:t>Síntesis y diálogo abierto guiado por el profesor (5 minutos).</w:t>
      </w:r>
    </w:p>
    <w:p w:rsidR="00AB78F5" w:rsidRDefault="00DC79DC">
      <w:r>
        <w:br w:type="page"/>
      </w:r>
    </w:p>
    <w:p w:rsidR="00AB78F5" w:rsidRDefault="00DC79DC">
      <w:pPr>
        <w:shd w:val="clear" w:color="auto" w:fill="3C1642"/>
        <w:spacing w:after="120"/>
      </w:pPr>
      <w:r>
        <w:rPr>
          <w:rFonts w:ascii="Georgia" w:eastAsia="Georgia" w:hAnsi="Georgia" w:cs="Georgia"/>
          <w:b/>
          <w:bCs/>
          <w:color w:val="FFFFFF"/>
          <w:sz w:val="28"/>
          <w:szCs w:val="28"/>
        </w:rPr>
        <w:lastRenderedPageBreak/>
        <w:t xml:space="preserve">  GRUPO 1: El deseo de Dios en el ser humano</w:t>
      </w:r>
    </w:p>
    <w:p w:rsidR="00AB78F5" w:rsidRDefault="00DC79DC">
      <w:pPr>
        <w:pStyle w:val="Ttulo3"/>
      </w:pPr>
      <w:r>
        <w:t xml:space="preserve">Texto: Catecismo de la Iglesia Católica, </w:t>
      </w:r>
      <w:proofErr w:type="spellStart"/>
      <w:r>
        <w:t>nn</w:t>
      </w:r>
      <w:proofErr w:type="spellEnd"/>
      <w:r>
        <w:t>. 27-30</w:t>
      </w:r>
    </w:p>
    <w:p w:rsidR="00AB78F5" w:rsidRDefault="00DC79DC">
      <w:pPr>
        <w:spacing w:after="100"/>
      </w:pPr>
      <w:r>
        <w:rPr>
          <w:b/>
          <w:bCs/>
        </w:rPr>
        <w:t xml:space="preserve">N. 27: </w:t>
      </w:r>
      <w:r>
        <w:t>«El deseo de Dios está inscrito en el corazón del hombre, porque el hombre ha sido creado por Dios y para Dios; y Dios no cesa de atraer al hombre hacia sí, y sólo en Dios encontrará el hombre la verdad y la dicha que no cesa de buscar.»</w:t>
      </w:r>
    </w:p>
    <w:p w:rsidR="00AB78F5" w:rsidRDefault="00DC79DC">
      <w:pPr>
        <w:spacing w:after="100"/>
      </w:pPr>
      <w:r>
        <w:rPr>
          <w:b/>
          <w:bCs/>
        </w:rPr>
        <w:t xml:space="preserve">N. 28: </w:t>
      </w:r>
      <w:r>
        <w:t>«De</w:t>
      </w:r>
      <w:r>
        <w:t xml:space="preserve"> múltiples maneras, en su historia, y hasta el día de hoy, los hombres han expresado su búsqueda de Dios por medio de sus creencias y sus comportamientos religiosos (oraciones, sacrificios, cultos, meditaciones, etc.). A pesar de las ambigüedades que puede</w:t>
      </w:r>
      <w:r>
        <w:t>n entrañar, estas formas de expresión son tan universales que se puede llamar al hombre un ser religioso.»</w:t>
      </w:r>
    </w:p>
    <w:p w:rsidR="00AB78F5" w:rsidRDefault="00DC79DC">
      <w:pPr>
        <w:spacing w:after="100"/>
      </w:pPr>
      <w:r>
        <w:rPr>
          <w:b/>
          <w:bCs/>
        </w:rPr>
        <w:t xml:space="preserve">N. 29: </w:t>
      </w:r>
      <w:r>
        <w:t>«Pero esta ‘íntima y vital unión con Dios’ (GS 19,1) puede ser olvidada, desconocida e incluso rechazada explícitamente por el hombre. Tales a</w:t>
      </w:r>
      <w:r>
        <w:t>ctitudes pueden tener orígenes muy diversos: la rebelión contra el mal en el mundo, la ignorancia o la indiferencia religiosas, los afanes del mundo y de las riquezas, el mal ejemplo de los creyentes, las corrientes de pensamiento hostiles a la religión, y</w:t>
      </w:r>
      <w:r>
        <w:t xml:space="preserve"> finalmente esa actitud del hombre pecador que, por miedo, se oculta de Dios y huye ante su llamada.»</w:t>
      </w:r>
    </w:p>
    <w:p w:rsidR="00AB78F5" w:rsidRDefault="00DC79DC">
      <w:pPr>
        <w:spacing w:after="100"/>
      </w:pPr>
      <w:r>
        <w:rPr>
          <w:b/>
          <w:bCs/>
        </w:rPr>
        <w:t xml:space="preserve">N. 30: </w:t>
      </w:r>
      <w:r>
        <w:t>«‘Alégrese el corazón de los que buscan a Dios’ (Sal 105,3). Si el hombre puede olvidar o rechazar a Dios, Dios no cesa de llamar a todo hombre a b</w:t>
      </w:r>
      <w:r>
        <w:t>uscarle para que viva y encuentre la dicha. Pero esta búsqueda exige del hombre todo el esfuerzo de su inteligencia, la rectitud de su voluntad, ‘un corazón recto’, y también el testimonio de otros que le enseñen a buscar a Dios.»</w:t>
      </w:r>
    </w:p>
    <w:p w:rsidR="00AB78F5" w:rsidRDefault="00DC79DC">
      <w:pPr>
        <w:pStyle w:val="Ttulo3"/>
        <w:spacing w:before="240"/>
      </w:pPr>
      <w:r>
        <w:t>Preguntas guía</w:t>
      </w:r>
    </w:p>
    <w:p w:rsidR="00AB78F5" w:rsidRDefault="00DC79DC">
      <w:pPr>
        <w:pStyle w:val="Prrafodelista"/>
        <w:numPr>
          <w:ilvl w:val="0"/>
          <w:numId w:val="3"/>
        </w:numPr>
        <w:spacing w:after="80"/>
      </w:pPr>
      <w:r>
        <w:t>¿Qué signi</w:t>
      </w:r>
      <w:r>
        <w:t>fica que el deseo de Dios esté «inscrito» en el corazón humano? ¿Es una metáfora o una afirmación ontológica? Justifiquen su respuesta.</w:t>
      </w:r>
    </w:p>
    <w:p w:rsidR="00AB78F5" w:rsidRDefault="00DC79DC">
      <w:pPr>
        <w:pStyle w:val="Prrafodelista"/>
        <w:numPr>
          <w:ilvl w:val="0"/>
          <w:numId w:val="3"/>
        </w:numPr>
        <w:spacing w:after="80"/>
      </w:pPr>
      <w:r>
        <w:t>El n. 28 afirma que el ser humano es un «ser religioso». ¿Qué evidencias ofrece el texto? ¿Conocen ejemplos concretos de</w:t>
      </w:r>
      <w:r>
        <w:t xml:space="preserve"> culturas o pueblos que confirmen esta universalidad?</w:t>
      </w:r>
    </w:p>
    <w:p w:rsidR="00AB78F5" w:rsidRDefault="00DC79DC">
      <w:pPr>
        <w:pStyle w:val="Prrafodelista"/>
        <w:numPr>
          <w:ilvl w:val="0"/>
          <w:numId w:val="3"/>
        </w:numPr>
        <w:spacing w:after="80"/>
      </w:pPr>
      <w:r>
        <w:t>El n. 29 enumera razones por las cuales el ser humano puede rechazar a Dios. ¿Cuáles de estas razones les parecen más relevantes en el contexto actual latinoamericano?</w:t>
      </w:r>
    </w:p>
    <w:p w:rsidR="00AB78F5" w:rsidRDefault="00DC79DC">
      <w:pPr>
        <w:pStyle w:val="Prrafodelista"/>
        <w:numPr>
          <w:ilvl w:val="0"/>
          <w:numId w:val="3"/>
        </w:numPr>
        <w:spacing w:after="80"/>
      </w:pPr>
      <w:r>
        <w:t>Según el n. 30, ¿qué condiciones se requieren para una búsqueda auténtica de Dios? ¿Qué papel juega la comunidad en este proceso?</w:t>
      </w:r>
    </w:p>
    <w:p w:rsidR="00AB78F5" w:rsidRDefault="00DC79DC">
      <w:r>
        <w:br w:type="page"/>
      </w:r>
    </w:p>
    <w:p w:rsidR="00AB78F5" w:rsidRDefault="00DC79DC">
      <w:pPr>
        <w:shd w:val="clear" w:color="auto" w:fill="5C2D82"/>
        <w:spacing w:after="120"/>
      </w:pPr>
      <w:r>
        <w:rPr>
          <w:rFonts w:ascii="Georgia" w:eastAsia="Georgia" w:hAnsi="Georgia" w:cs="Georgia"/>
          <w:b/>
          <w:bCs/>
          <w:color w:val="FFFFFF"/>
          <w:sz w:val="28"/>
          <w:szCs w:val="28"/>
        </w:rPr>
        <w:lastRenderedPageBreak/>
        <w:t xml:space="preserve">  GRUPO 2: La revelación de Dios como encuentro personal</w:t>
      </w:r>
    </w:p>
    <w:p w:rsidR="00AB78F5" w:rsidRDefault="00DC79DC">
      <w:pPr>
        <w:pStyle w:val="Ttulo3"/>
      </w:pPr>
      <w:r>
        <w:t>Texto: Dei Verbum 2 y 6 (Concilio Vaticano II)</w:t>
      </w:r>
    </w:p>
    <w:p w:rsidR="00AB78F5" w:rsidRDefault="00DC79DC">
      <w:pPr>
        <w:spacing w:after="100"/>
      </w:pPr>
      <w:r>
        <w:rPr>
          <w:b/>
          <w:bCs/>
        </w:rPr>
        <w:t xml:space="preserve">DV 2: </w:t>
      </w:r>
      <w:r>
        <w:t>«Quiso Dios, c</w:t>
      </w:r>
      <w:r>
        <w:t xml:space="preserve">on su bondad y sabiduría, revelarse a Sí mismo y manifestar el misterio de su voluntad (cf. </w:t>
      </w:r>
      <w:proofErr w:type="spellStart"/>
      <w:r>
        <w:t>Ef</w:t>
      </w:r>
      <w:proofErr w:type="spellEnd"/>
      <w:r>
        <w:t xml:space="preserve"> 1,9): por Cristo, la Palabra hecha carne, y con el Espíritu Santo, pueden los hombres llegar hasta el Padre y participar de la naturaleza divina (cf. </w:t>
      </w:r>
      <w:proofErr w:type="spellStart"/>
      <w:r>
        <w:t>Ef</w:t>
      </w:r>
      <w:proofErr w:type="spellEnd"/>
      <w:r>
        <w:t xml:space="preserve"> 2,18; 2 </w:t>
      </w:r>
      <w:r>
        <w:t xml:space="preserve">Pe 1,4). En esta revelación, Dios invisible (cf. Col 1,15; 1 Tim 1,17), movido de amor, habla a los hombres como amigos (cf. Ex 33,11; </w:t>
      </w:r>
      <w:proofErr w:type="spellStart"/>
      <w:r>
        <w:t>Jn</w:t>
      </w:r>
      <w:proofErr w:type="spellEnd"/>
      <w:r>
        <w:t xml:space="preserve"> 15,14-15), trata con ellos (cf. Bar 3,38) para invitarlos y recibirlos en su compañía. El plan de la revelación se rea</w:t>
      </w:r>
      <w:r>
        <w:t>liza por obras y palabras intrínsecamente ligadas; las obras que Dios realiza en la historia de la salvación manifiestan y confirman la doctrina y las realidades que las palabras significan; a su vez, las palabras proclaman las obras y explican su misterio</w:t>
      </w:r>
      <w:r>
        <w:t>.»</w:t>
      </w:r>
    </w:p>
    <w:p w:rsidR="00AB78F5" w:rsidRDefault="00DC79DC">
      <w:pPr>
        <w:spacing w:after="100"/>
      </w:pPr>
      <w:r>
        <w:rPr>
          <w:b/>
          <w:bCs/>
        </w:rPr>
        <w:t xml:space="preserve">DV 6: </w:t>
      </w:r>
      <w:r>
        <w:t xml:space="preserve">«Dios, principio y fin de todas las cosas, puede ser conocido con certeza por la luz natural de la razón humana, partiendo de las criaturas (cf. </w:t>
      </w:r>
      <w:proofErr w:type="spellStart"/>
      <w:r>
        <w:t>Rom</w:t>
      </w:r>
      <w:proofErr w:type="spellEnd"/>
      <w:r>
        <w:t xml:space="preserve"> 1,20); pero enseña que la revelación divina es moralmente necesaria para que aquellas verdades rel</w:t>
      </w:r>
      <w:r>
        <w:t>igiosas y morales que de suyo no son inaccesibles a la razón, en las condiciones actuales del género humano, puedan ser conocidas de todos fácilmente, con firme certeza y sin mezcla de error.»</w:t>
      </w:r>
    </w:p>
    <w:p w:rsidR="00AB78F5" w:rsidRDefault="00DC79DC">
      <w:pPr>
        <w:pStyle w:val="Ttulo3"/>
        <w:spacing w:before="240"/>
      </w:pPr>
      <w:r>
        <w:t>Preguntas guía</w:t>
      </w:r>
    </w:p>
    <w:p w:rsidR="00AB78F5" w:rsidRDefault="00DC79DC">
      <w:pPr>
        <w:pStyle w:val="Prrafodelista"/>
        <w:numPr>
          <w:ilvl w:val="0"/>
          <w:numId w:val="4"/>
        </w:numPr>
        <w:spacing w:after="80"/>
      </w:pPr>
      <w:r>
        <w:t>DV 2 presenta la revelación como un diálogo de a</w:t>
      </w:r>
      <w:r>
        <w:t>mistad. ¿Qué implica que Dios «hable a los hombres como amigos»? ¿Cómo se diferencia esto de una visión puramente intelectual o doctrinal de la fe?</w:t>
      </w:r>
    </w:p>
    <w:p w:rsidR="00AB78F5" w:rsidRDefault="00DC79DC">
      <w:pPr>
        <w:pStyle w:val="Prrafodelista"/>
        <w:numPr>
          <w:ilvl w:val="0"/>
          <w:numId w:val="4"/>
        </w:numPr>
        <w:spacing w:after="80"/>
      </w:pPr>
      <w:r>
        <w:t>El texto afirma que la revelación se realiza «por obras y palabras intrínsecamente ligadas». ¿Qué ejemplos b</w:t>
      </w:r>
      <w:r>
        <w:t>íblicos ilustran esta unión entre acción divina y palabra?</w:t>
      </w:r>
    </w:p>
    <w:p w:rsidR="00AB78F5" w:rsidRDefault="00DC79DC">
      <w:pPr>
        <w:pStyle w:val="Prrafodelista"/>
        <w:numPr>
          <w:ilvl w:val="0"/>
          <w:numId w:val="4"/>
        </w:numPr>
        <w:spacing w:after="80"/>
      </w:pPr>
      <w:r>
        <w:t>DV 6 distingue entre conocimiento natural de Dios y conocimiento por revelación. ¿Por qué la revelación es «moralmente necesaria» si la razón por sí sola puede llegar a Dios?</w:t>
      </w:r>
    </w:p>
    <w:p w:rsidR="00AB78F5" w:rsidRDefault="00DC79DC">
      <w:pPr>
        <w:pStyle w:val="Prrafodelista"/>
        <w:numPr>
          <w:ilvl w:val="0"/>
          <w:numId w:val="4"/>
        </w:numPr>
        <w:spacing w:after="80"/>
      </w:pPr>
      <w:r>
        <w:t>¿Cómo se relaciona este texto con la noción de «conciencia religiosa»? ¿La revelación supone una conciencia previa abierta a lo trascendente o la crea?</w:t>
      </w:r>
    </w:p>
    <w:p w:rsidR="00AB78F5" w:rsidRDefault="00DC79DC">
      <w:r>
        <w:br w:type="page"/>
      </w:r>
    </w:p>
    <w:p w:rsidR="00AB78F5" w:rsidRDefault="00DC79DC">
      <w:pPr>
        <w:shd w:val="clear" w:color="auto" w:fill="7B2D4E"/>
        <w:spacing w:after="120"/>
      </w:pPr>
      <w:r>
        <w:rPr>
          <w:rFonts w:ascii="Georgia" w:eastAsia="Georgia" w:hAnsi="Georgia" w:cs="Georgia"/>
          <w:b/>
          <w:bCs/>
          <w:color w:val="FFFFFF"/>
          <w:sz w:val="28"/>
          <w:szCs w:val="28"/>
        </w:rPr>
        <w:lastRenderedPageBreak/>
        <w:t xml:space="preserve">  GRUPO 3: El problema del ateísmo y la dignidad humana</w:t>
      </w:r>
    </w:p>
    <w:p w:rsidR="00AB78F5" w:rsidRDefault="00DC79DC">
      <w:pPr>
        <w:pStyle w:val="Ttulo3"/>
      </w:pPr>
      <w:r>
        <w:t xml:space="preserve">Texto: </w:t>
      </w:r>
      <w:proofErr w:type="spellStart"/>
      <w:r>
        <w:t>Gaudium</w:t>
      </w:r>
      <w:proofErr w:type="spellEnd"/>
      <w:r>
        <w:t xml:space="preserve"> et </w:t>
      </w:r>
      <w:proofErr w:type="spellStart"/>
      <w:r>
        <w:t>Spes</w:t>
      </w:r>
      <w:proofErr w:type="spellEnd"/>
      <w:r>
        <w:t xml:space="preserve"> 19-22 (selecciones)</w:t>
      </w:r>
    </w:p>
    <w:p w:rsidR="00AB78F5" w:rsidRDefault="00DC79DC">
      <w:pPr>
        <w:spacing w:after="100"/>
      </w:pPr>
      <w:r>
        <w:rPr>
          <w:b/>
          <w:bCs/>
        </w:rPr>
        <w:t xml:space="preserve">GS </w:t>
      </w:r>
      <w:r>
        <w:rPr>
          <w:b/>
          <w:bCs/>
        </w:rPr>
        <w:t xml:space="preserve">19: </w:t>
      </w:r>
      <w:r>
        <w:t>«La razón más alta de la dignidad humana consiste en la vocación del hombre a la unión con Dios. Desde su mismo nacimiento, el hombre es invitado al diálogo con Dios. Existe pura y simplemente por el amor de Dios, que lo creó, y por el amor de Dios, qu</w:t>
      </w:r>
      <w:r>
        <w:t>e lo conserva. Y sólo se puede decir que vive en la plenitud de la verdad cuando reconoce libremente ese amor y se confía por entero a su Creador.»</w:t>
      </w:r>
    </w:p>
    <w:p w:rsidR="00AB78F5" w:rsidRDefault="00DC79DC">
      <w:pPr>
        <w:spacing w:after="100"/>
      </w:pPr>
      <w:r>
        <w:rPr>
          <w:b/>
          <w:bCs/>
        </w:rPr>
        <w:t xml:space="preserve">GS 21: </w:t>
      </w:r>
      <w:r>
        <w:t>«La Iglesia, fiel a Dios y fiel a los hombres, no puede dejar de reprobar con dolor, pero con firmeza</w:t>
      </w:r>
      <w:r>
        <w:t>, como hasta ahora ha reprobado, esas doctrinas y esas acciones funestas que contradicen a la razón y a la experiencia humana universal y privan al hombre de su innata grandeza. Quiere, sin embargo, conocer las causas de la negación de Dios que se esconden</w:t>
      </w:r>
      <w:r>
        <w:t xml:space="preserve"> en la mente del </w:t>
      </w:r>
      <w:proofErr w:type="spellStart"/>
      <w:r>
        <w:t>atéo</w:t>
      </w:r>
      <w:proofErr w:type="spellEnd"/>
      <w:r>
        <w:t>. Consciente de la gravedad de los problemas planteados por el ateísmo y movida por el amor que siente por todos los hombres, la Iglesia juzga que los motivos del ateísmo deben ser objeto de serio y más profundo examen.»</w:t>
      </w:r>
    </w:p>
    <w:p w:rsidR="00AB78F5" w:rsidRDefault="00DC79DC">
      <w:pPr>
        <w:spacing w:after="100"/>
      </w:pPr>
      <w:r>
        <w:rPr>
          <w:b/>
          <w:bCs/>
        </w:rPr>
        <w:t xml:space="preserve">GS 22: </w:t>
      </w:r>
      <w:r>
        <w:t>«En rea</w:t>
      </w:r>
      <w:r>
        <w:t xml:space="preserve">lidad, el misterio del hombre sólo se esclarece en el misterio del Verbo encarnado. [...] Cristo, el nuevo Adán, en la misma revelación del misterio del Padre y de su amor, manifiesta plenamente el hombre al propio hombre y le descubre la sublimidad de su </w:t>
      </w:r>
      <w:r>
        <w:t>vocación.»</w:t>
      </w:r>
    </w:p>
    <w:p w:rsidR="00AB78F5" w:rsidRDefault="00DC79DC">
      <w:pPr>
        <w:pStyle w:val="Ttulo3"/>
        <w:spacing w:before="240"/>
      </w:pPr>
      <w:r>
        <w:t>Preguntas guía</w:t>
      </w:r>
    </w:p>
    <w:p w:rsidR="00AB78F5" w:rsidRDefault="00DC79DC">
      <w:pPr>
        <w:pStyle w:val="Prrafodelista"/>
        <w:numPr>
          <w:ilvl w:val="0"/>
          <w:numId w:val="5"/>
        </w:numPr>
        <w:spacing w:after="80"/>
      </w:pPr>
      <w:r>
        <w:t>GS 19 afirma que la dignidad humana consiste en la vocación a la unión con Dios. ¿Qué consecuencias tiene esta afirmación para la comprensión de la conciencia religiosa? ¿Es la religión un «lujo» o una necesidad antropológica?</w:t>
      </w:r>
    </w:p>
    <w:p w:rsidR="00AB78F5" w:rsidRDefault="00DC79DC">
      <w:pPr>
        <w:pStyle w:val="Prrafodelista"/>
        <w:numPr>
          <w:ilvl w:val="0"/>
          <w:numId w:val="5"/>
        </w:numPr>
        <w:spacing w:after="80"/>
      </w:pPr>
      <w:r>
        <w:t xml:space="preserve">GS </w:t>
      </w:r>
      <w:r>
        <w:t>21 propone un acercamiento empático al ateísmo: comprender sus causas antes de refutarlo. ¿Qué causas del ateísmo contemporáneo pueden identificar en su entorno? ¿Cómo podría la Iglesia responder a ellas?</w:t>
      </w:r>
    </w:p>
    <w:p w:rsidR="00AB78F5" w:rsidRDefault="00DC79DC">
      <w:pPr>
        <w:pStyle w:val="Prrafodelista"/>
        <w:numPr>
          <w:ilvl w:val="0"/>
          <w:numId w:val="5"/>
        </w:numPr>
        <w:spacing w:after="80"/>
      </w:pPr>
      <w:r>
        <w:t xml:space="preserve">La célebre frase de GS 22 («el misterio del hombre </w:t>
      </w:r>
      <w:r>
        <w:t>sólo se esclarece en el misterio del Verbo encarnado») es central en la antropología católica. ¿Qué significa concretamente? ¿Cómo ilumina Cristo la conciencia religiosa del ser humano?</w:t>
      </w:r>
    </w:p>
    <w:p w:rsidR="00AB78F5" w:rsidRDefault="00DC79DC">
      <w:pPr>
        <w:pStyle w:val="Prrafodelista"/>
        <w:numPr>
          <w:ilvl w:val="0"/>
          <w:numId w:val="5"/>
        </w:numPr>
        <w:spacing w:after="80"/>
      </w:pPr>
      <w:r>
        <w:t>¿Existe una tensión entre la afirmación de que todo ser humano es «inv</w:t>
      </w:r>
      <w:r>
        <w:t>itado al diálogo con Dios» y la realidad del ateísmo creciente? ¿Cómo se resuelve desde la perspectiva del Concilio?</w:t>
      </w:r>
    </w:p>
    <w:p w:rsidR="00AB78F5" w:rsidRDefault="00DC79DC">
      <w:r>
        <w:br w:type="page"/>
      </w:r>
    </w:p>
    <w:p w:rsidR="00AB78F5" w:rsidRDefault="00DC79DC">
      <w:pPr>
        <w:shd w:val="clear" w:color="auto" w:fill="B8860B"/>
        <w:spacing w:after="120"/>
      </w:pPr>
      <w:r>
        <w:rPr>
          <w:rFonts w:ascii="Georgia" w:eastAsia="Georgia" w:hAnsi="Georgia" w:cs="Georgia"/>
          <w:b/>
          <w:bCs/>
          <w:color w:val="FFFFFF"/>
          <w:sz w:val="28"/>
          <w:szCs w:val="28"/>
        </w:rPr>
        <w:lastRenderedPageBreak/>
        <w:t xml:space="preserve">  GRUPO 4: Fe, razón y experiencia religiosa</w:t>
      </w:r>
    </w:p>
    <w:p w:rsidR="00AB78F5" w:rsidRDefault="00DC79DC">
      <w:pPr>
        <w:pStyle w:val="Ttulo3"/>
      </w:pPr>
      <w:r>
        <w:t xml:space="preserve">Texto: </w:t>
      </w:r>
      <w:proofErr w:type="spellStart"/>
      <w:r>
        <w:t>Fides</w:t>
      </w:r>
      <w:proofErr w:type="spellEnd"/>
      <w:r>
        <w:t xml:space="preserve"> et Ratio 1, 5, 16-17 (selecciones)</w:t>
      </w:r>
    </w:p>
    <w:p w:rsidR="00AB78F5" w:rsidRDefault="00DC79DC">
      <w:pPr>
        <w:spacing w:after="100"/>
      </w:pPr>
      <w:r>
        <w:rPr>
          <w:b/>
          <w:bCs/>
        </w:rPr>
        <w:t xml:space="preserve">FR 1: </w:t>
      </w:r>
      <w:r>
        <w:t>«La fe y la razón son como las dos alas con las cuales el espíritu humano se eleva hacia la contemplación de la verdad. Dios ha puesto en el corazón del hombre el deseo de conocer la verdad y, en definitiva, de conocerle a Él para que, conociéndolo y amánd</w:t>
      </w:r>
      <w:r>
        <w:t>olo, pueda alcanzar también la plena verdad sobre sí mismo.»</w:t>
      </w:r>
    </w:p>
    <w:p w:rsidR="00AB78F5" w:rsidRDefault="00DC79DC">
      <w:pPr>
        <w:spacing w:after="100"/>
      </w:pPr>
      <w:r>
        <w:rPr>
          <w:b/>
          <w:bCs/>
        </w:rPr>
        <w:t xml:space="preserve">FR 5: </w:t>
      </w:r>
      <w:r>
        <w:t>«Tanto en Oriente como en Occidente es posible distinguir un camino que, a lo largo de los siglos, ha llevado a la humanidad a encontrarse progresivamente con la verdad y a confrontarse con</w:t>
      </w:r>
      <w:r>
        <w:t xml:space="preserve"> ella. Es un camino que se ha desarrollado —no podía ser de otro modo— dentro del horizonte de la autoconciencia personal: el hombre cuanto más conoce la realidad y el mundo y más se conoce a sí mismo en su unicidad, le resulta más urgente el interrogante </w:t>
      </w:r>
      <w:r>
        <w:t>sobre el sentido de las cosas y sobre su propia existencia.»</w:t>
      </w:r>
    </w:p>
    <w:p w:rsidR="00AB78F5" w:rsidRDefault="00DC79DC">
      <w:pPr>
        <w:spacing w:after="100"/>
      </w:pPr>
      <w:r>
        <w:rPr>
          <w:b/>
          <w:bCs/>
        </w:rPr>
        <w:t xml:space="preserve">FR 16-17: </w:t>
      </w:r>
      <w:r>
        <w:t>[Sobre la tradición filosófica] «La Sagrada Escritura nos presenta con sorprendente claridad el vínculo tan profundo que hay entre el conocimiento de fe y el de razón. [...] La razón de</w:t>
      </w:r>
      <w:r>
        <w:t>l hombre no se anula ni se envilece dando su asentimiento a los contenidos de la fe, que en todo caso se alcanzan mediante una opción libre y consciente.»</w:t>
      </w:r>
    </w:p>
    <w:p w:rsidR="00AB78F5" w:rsidRDefault="00DC79DC">
      <w:pPr>
        <w:pStyle w:val="Ttulo3"/>
        <w:spacing w:before="240"/>
      </w:pPr>
      <w:r>
        <w:t>Preguntas guía</w:t>
      </w:r>
    </w:p>
    <w:p w:rsidR="00AB78F5" w:rsidRDefault="00DC79DC">
      <w:pPr>
        <w:pStyle w:val="Prrafodelista"/>
        <w:numPr>
          <w:ilvl w:val="0"/>
          <w:numId w:val="6"/>
        </w:numPr>
        <w:spacing w:after="80"/>
      </w:pPr>
      <w:r>
        <w:t>La metáfora de las «dos alas» (fe y razón) es una de las imágenes más conocidas del Ma</w:t>
      </w:r>
      <w:r>
        <w:t>gisterio reciente. ¿Qué sucede cuando una de las dos «alas» falta? Den ejemplos concretos de fe sin razón y de razón sin fe.</w:t>
      </w:r>
    </w:p>
    <w:p w:rsidR="00AB78F5" w:rsidRDefault="00DC79DC">
      <w:pPr>
        <w:pStyle w:val="Prrafodelista"/>
        <w:numPr>
          <w:ilvl w:val="0"/>
          <w:numId w:val="6"/>
        </w:numPr>
        <w:spacing w:after="80"/>
      </w:pPr>
      <w:r>
        <w:t>FR 5 vincula la autoconciencia personal con la búsqueda de sentido. ¿Cómo se conecta esto con la noción de «conciencia religiosa» q</w:t>
      </w:r>
      <w:r>
        <w:t>ue hemos estudiado en la clase?</w:t>
      </w:r>
    </w:p>
    <w:p w:rsidR="00AB78F5" w:rsidRDefault="00DC79DC">
      <w:pPr>
        <w:pStyle w:val="Prrafodelista"/>
        <w:numPr>
          <w:ilvl w:val="0"/>
          <w:numId w:val="6"/>
        </w:numPr>
        <w:spacing w:after="80"/>
      </w:pPr>
      <w:r>
        <w:t xml:space="preserve">¿Por qué Juan Pablo II insiste en que la fe no «anula» la </w:t>
      </w:r>
      <w:proofErr w:type="gramStart"/>
      <w:r>
        <w:t>razón</w:t>
      </w:r>
      <w:proofErr w:type="gramEnd"/>
      <w:r>
        <w:t xml:space="preserve"> sino que la «perfecciona»? ¿Qué respuesta ofrece esto al cientificismo contemporáneo?</w:t>
      </w:r>
    </w:p>
    <w:p w:rsidR="00AB78F5" w:rsidRDefault="00DC79DC">
      <w:pPr>
        <w:pStyle w:val="Prrafodelista"/>
        <w:numPr>
          <w:ilvl w:val="0"/>
          <w:numId w:val="6"/>
        </w:numPr>
        <w:spacing w:after="80"/>
      </w:pPr>
      <w:r>
        <w:t>En su experiencia personal o académica, ¿han encontrado conflictos entre f</w:t>
      </w:r>
      <w:r>
        <w:t xml:space="preserve">e y razón? ¿Cómo les ayuda (o no) la perspectiva de </w:t>
      </w:r>
      <w:proofErr w:type="spellStart"/>
      <w:r>
        <w:t>Fides</w:t>
      </w:r>
      <w:proofErr w:type="spellEnd"/>
      <w:r>
        <w:t xml:space="preserve"> et Ratio a resolverlos?</w:t>
      </w:r>
    </w:p>
    <w:p w:rsidR="00AB78F5" w:rsidRDefault="00DC79DC">
      <w:r>
        <w:br w:type="page"/>
      </w:r>
    </w:p>
    <w:p w:rsidR="00AB78F5" w:rsidRDefault="00DC79DC">
      <w:pPr>
        <w:pStyle w:val="Ttulo1"/>
      </w:pPr>
      <w:r>
        <w:lastRenderedPageBreak/>
        <w:t>Guía para la síntesis final (Profesor)</w:t>
      </w:r>
    </w:p>
    <w:p w:rsidR="00AB78F5" w:rsidRDefault="00DC79DC">
      <w:pPr>
        <w:spacing w:after="120"/>
      </w:pPr>
      <w:r>
        <w:t>Después de las presentaciones de cada grupo, el profesor puede guiar la discusión plenaria con las siguientes preguntas integradoras:</w:t>
      </w:r>
    </w:p>
    <w:p w:rsidR="00AB78F5" w:rsidRDefault="00DC79DC">
      <w:pPr>
        <w:pStyle w:val="Prrafodelista"/>
        <w:numPr>
          <w:ilvl w:val="0"/>
          <w:numId w:val="7"/>
        </w:numPr>
        <w:spacing w:after="80"/>
      </w:pPr>
      <w:r>
        <w:rPr>
          <w:b/>
          <w:bCs/>
        </w:rPr>
        <w:t xml:space="preserve">Pregunta transversal: </w:t>
      </w:r>
      <w:r>
        <w:t>¿Qué elementos comunes encontramos en los cuatro textos respecto a la naturaleza religiosa del ser humano?</w:t>
      </w:r>
    </w:p>
    <w:p w:rsidR="00AB78F5" w:rsidRDefault="00DC79DC">
      <w:pPr>
        <w:pStyle w:val="Prrafodelista"/>
        <w:numPr>
          <w:ilvl w:val="0"/>
          <w:numId w:val="7"/>
        </w:numPr>
        <w:spacing w:after="80"/>
      </w:pPr>
      <w:r>
        <w:rPr>
          <w:b/>
          <w:bCs/>
        </w:rPr>
        <w:t xml:space="preserve">Conexión con la actualidad: </w:t>
      </w:r>
      <w:r>
        <w:t xml:space="preserve">¿Cómo se manifiesta (o se oculta) la conciencia religiosa en la cultura contemporánea? Piensen en </w:t>
      </w:r>
      <w:r>
        <w:t>música, cine, redes sociales, movimientos sociales.</w:t>
      </w:r>
    </w:p>
    <w:p w:rsidR="00AB78F5" w:rsidRDefault="00DC79DC">
      <w:pPr>
        <w:pStyle w:val="Prrafodelista"/>
        <w:numPr>
          <w:ilvl w:val="0"/>
          <w:numId w:val="7"/>
        </w:numPr>
        <w:spacing w:after="80"/>
      </w:pPr>
      <w:r>
        <w:rPr>
          <w:b/>
          <w:bCs/>
        </w:rPr>
        <w:t xml:space="preserve">Desafío personal: </w:t>
      </w:r>
      <w:r>
        <w:t>¿Qué texto les ha interpelado más personalmente y por qué?</w:t>
      </w:r>
    </w:p>
    <w:p w:rsidR="00AB78F5" w:rsidRDefault="00DC79DC">
      <w:pPr>
        <w:pStyle w:val="Prrafodelista"/>
        <w:numPr>
          <w:ilvl w:val="0"/>
          <w:numId w:val="7"/>
        </w:numPr>
        <w:spacing w:after="80"/>
      </w:pPr>
      <w:r>
        <w:rPr>
          <w:b/>
          <w:bCs/>
        </w:rPr>
        <w:t xml:space="preserve">Hacia una síntesis: </w:t>
      </w:r>
      <w:r>
        <w:t>Si tuvieran que explicar a un amigo no creyente qué entiende la Iglesia Católica por «conciencia religiosa»</w:t>
      </w:r>
      <w:r>
        <w:t>, ¿qué le dirían en dos o tres frases?</w:t>
      </w:r>
    </w:p>
    <w:p w:rsidR="00AB78F5" w:rsidRDefault="00DC79DC">
      <w:pPr>
        <w:pStyle w:val="Ttulo2"/>
      </w:pPr>
      <w:r>
        <w:t>Criterios de evaluación sugeridos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2340"/>
        <w:gridCol w:w="2340"/>
      </w:tblGrid>
      <w:tr w:rsidR="00AB78F5">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3C1642"/>
            <w:tcMar>
              <w:top w:w="80" w:type="dxa"/>
              <w:left w:w="120" w:type="dxa"/>
              <w:bottom w:w="80" w:type="dxa"/>
              <w:right w:w="120" w:type="dxa"/>
            </w:tcMar>
          </w:tcPr>
          <w:p w:rsidR="00AB78F5" w:rsidRDefault="00DC79DC">
            <w:r>
              <w:rPr>
                <w:rFonts w:ascii="Georgia" w:eastAsia="Georgia" w:hAnsi="Georgia" w:cs="Georgia"/>
                <w:b/>
                <w:bCs/>
                <w:color w:val="FFFFFF"/>
              </w:rPr>
              <w:t>Criterio</w:t>
            </w:r>
          </w:p>
        </w:tc>
        <w:tc>
          <w:tcPr>
            <w:tcW w:w="2340" w:type="dxa"/>
            <w:tcBorders>
              <w:top w:val="single" w:sz="1" w:space="0" w:color="CCCCCC"/>
              <w:left w:val="single" w:sz="1" w:space="0" w:color="CCCCCC"/>
              <w:bottom w:val="single" w:sz="1" w:space="0" w:color="CCCCCC"/>
              <w:right w:val="single" w:sz="1" w:space="0" w:color="CCCCCC"/>
            </w:tcBorders>
            <w:shd w:val="clear" w:color="auto" w:fill="3C1642"/>
            <w:tcMar>
              <w:top w:w="80" w:type="dxa"/>
              <w:left w:w="120" w:type="dxa"/>
              <w:bottom w:w="80" w:type="dxa"/>
              <w:right w:w="120" w:type="dxa"/>
            </w:tcMar>
          </w:tcPr>
          <w:p w:rsidR="00AB78F5" w:rsidRDefault="00DC79DC">
            <w:pPr>
              <w:jc w:val="center"/>
            </w:pPr>
            <w:r>
              <w:rPr>
                <w:rFonts w:ascii="Georgia" w:eastAsia="Georgia" w:hAnsi="Georgia" w:cs="Georgia"/>
                <w:b/>
                <w:bCs/>
                <w:color w:val="FFFFFF"/>
              </w:rPr>
              <w:t>Peso</w:t>
            </w:r>
          </w:p>
        </w:tc>
        <w:tc>
          <w:tcPr>
            <w:tcW w:w="2340" w:type="dxa"/>
            <w:tcBorders>
              <w:top w:val="single" w:sz="1" w:space="0" w:color="CCCCCC"/>
              <w:left w:val="single" w:sz="1" w:space="0" w:color="CCCCCC"/>
              <w:bottom w:val="single" w:sz="1" w:space="0" w:color="CCCCCC"/>
              <w:right w:val="single" w:sz="1" w:space="0" w:color="CCCCCC"/>
            </w:tcBorders>
            <w:shd w:val="clear" w:color="auto" w:fill="3C1642"/>
            <w:tcMar>
              <w:top w:w="80" w:type="dxa"/>
              <w:left w:w="120" w:type="dxa"/>
              <w:bottom w:w="80" w:type="dxa"/>
              <w:right w:w="120" w:type="dxa"/>
            </w:tcMar>
          </w:tcPr>
          <w:p w:rsidR="00AB78F5" w:rsidRDefault="00DC79DC">
            <w:pPr>
              <w:jc w:val="center"/>
            </w:pPr>
            <w:r>
              <w:rPr>
                <w:rFonts w:ascii="Georgia" w:eastAsia="Georgia" w:hAnsi="Georgia" w:cs="Georgia"/>
                <w:b/>
                <w:bCs/>
                <w:color w:val="FFFFFF"/>
              </w:rPr>
              <w:t>Puntos</w:t>
            </w:r>
          </w:p>
        </w:tc>
      </w:tr>
      <w:tr w:rsidR="00AB78F5">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r>
              <w:t>Comprensión del texto magisterial</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30%</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/30</w:t>
            </w:r>
          </w:p>
        </w:tc>
      </w:tr>
      <w:tr w:rsidR="00AB78F5">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r>
              <w:t>Capacidad de análisis crítico</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25%</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/25</w:t>
            </w:r>
          </w:p>
        </w:tc>
      </w:tr>
      <w:tr w:rsidR="00AB78F5">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r>
              <w:t>Conexión con la realidad actual</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20%</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/20</w:t>
            </w:r>
          </w:p>
        </w:tc>
      </w:tr>
      <w:tr w:rsidR="00AB78F5">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r>
              <w:t>Calidad de la presentación oral</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15%</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/15</w:t>
            </w:r>
          </w:p>
        </w:tc>
      </w:tr>
      <w:tr w:rsidR="00AB78F5">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r>
              <w:t>Participación en la discusión</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10%</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AB78F5" w:rsidRDefault="00DC79DC">
            <w:pPr>
              <w:jc w:val="center"/>
            </w:pPr>
            <w:r>
              <w:t>/10</w:t>
            </w:r>
          </w:p>
        </w:tc>
      </w:tr>
    </w:tbl>
    <w:p w:rsidR="00AB78F5" w:rsidRDefault="00DC79DC">
      <w:pPr>
        <w:pStyle w:val="Ttulo2"/>
        <w:spacing w:before="360"/>
      </w:pPr>
      <w:r>
        <w:t>Bibliografía de referencia</w:t>
      </w:r>
    </w:p>
    <w:p w:rsidR="00AB78F5" w:rsidRDefault="00DC79DC">
      <w:pPr>
        <w:pStyle w:val="Prrafodelista"/>
        <w:numPr>
          <w:ilvl w:val="0"/>
          <w:numId w:val="7"/>
        </w:numPr>
        <w:spacing w:after="60"/>
      </w:pPr>
      <w:r>
        <w:t xml:space="preserve">Catecismo de la Iglesia Católica, </w:t>
      </w:r>
      <w:proofErr w:type="spellStart"/>
      <w:r>
        <w:t>nn</w:t>
      </w:r>
      <w:proofErr w:type="spellEnd"/>
      <w:r>
        <w:t>. 27-49.</w:t>
      </w:r>
    </w:p>
    <w:p w:rsidR="00AB78F5" w:rsidRDefault="00DC79DC">
      <w:pPr>
        <w:pStyle w:val="Prrafodelista"/>
        <w:numPr>
          <w:ilvl w:val="0"/>
          <w:numId w:val="7"/>
        </w:numPr>
        <w:spacing w:after="60"/>
      </w:pPr>
      <w:r>
        <w:t xml:space="preserve">Concilio Vaticano II, Dei Verbum, </w:t>
      </w:r>
      <w:proofErr w:type="spellStart"/>
      <w:r>
        <w:t>Gaudium</w:t>
      </w:r>
      <w:proofErr w:type="spellEnd"/>
      <w:r>
        <w:t xml:space="preserve"> et </w:t>
      </w:r>
      <w:proofErr w:type="spellStart"/>
      <w:r>
        <w:t>Spes</w:t>
      </w:r>
      <w:proofErr w:type="spellEnd"/>
      <w:r>
        <w:t xml:space="preserve">, </w:t>
      </w:r>
      <w:proofErr w:type="spellStart"/>
      <w:r>
        <w:t>Nostra</w:t>
      </w:r>
      <w:proofErr w:type="spellEnd"/>
      <w:r>
        <w:t xml:space="preserve"> </w:t>
      </w:r>
      <w:proofErr w:type="spellStart"/>
      <w:r>
        <w:t>Aetate</w:t>
      </w:r>
      <w:proofErr w:type="spellEnd"/>
      <w:r>
        <w:t>.</w:t>
      </w:r>
    </w:p>
    <w:p w:rsidR="00AB78F5" w:rsidRDefault="00DC79DC">
      <w:pPr>
        <w:pStyle w:val="Prrafodelista"/>
        <w:numPr>
          <w:ilvl w:val="0"/>
          <w:numId w:val="7"/>
        </w:numPr>
        <w:spacing w:after="60"/>
      </w:pPr>
      <w:r>
        <w:t xml:space="preserve">Juan Pablo II, </w:t>
      </w:r>
      <w:proofErr w:type="spellStart"/>
      <w:r>
        <w:t>Fides</w:t>
      </w:r>
      <w:proofErr w:type="spellEnd"/>
      <w:r>
        <w:t xml:space="preserve"> et Ratio (1998).</w:t>
      </w:r>
    </w:p>
    <w:p w:rsidR="00AB78F5" w:rsidRDefault="00DC79DC">
      <w:pPr>
        <w:pStyle w:val="Prrafodelista"/>
        <w:numPr>
          <w:ilvl w:val="0"/>
          <w:numId w:val="7"/>
        </w:numPr>
        <w:spacing w:after="60"/>
      </w:pPr>
      <w:r>
        <w:t xml:space="preserve">Benedicto XVI, Deus Caritas </w:t>
      </w:r>
      <w:proofErr w:type="spellStart"/>
      <w:r>
        <w:t>Est</w:t>
      </w:r>
      <w:proofErr w:type="spellEnd"/>
      <w:r>
        <w:t xml:space="preserve"> (2005).</w:t>
      </w:r>
    </w:p>
    <w:p w:rsidR="00AB78F5" w:rsidRDefault="00DC79DC">
      <w:pPr>
        <w:pStyle w:val="Prrafodelista"/>
        <w:numPr>
          <w:ilvl w:val="0"/>
          <w:numId w:val="7"/>
        </w:numPr>
        <w:spacing w:after="60"/>
      </w:pPr>
      <w:r>
        <w:t xml:space="preserve">Ratzinger, J. Introducción al </w:t>
      </w:r>
      <w:proofErr w:type="gramStart"/>
      <w:r>
        <w:t>Cristianismo</w:t>
      </w:r>
      <w:proofErr w:type="gramEnd"/>
      <w:r>
        <w:t>. Salamanca: Sígueme.</w:t>
      </w:r>
    </w:p>
    <w:p w:rsidR="00AB78F5" w:rsidRDefault="00DC79DC">
      <w:pPr>
        <w:pStyle w:val="Prrafodelista"/>
        <w:numPr>
          <w:ilvl w:val="0"/>
          <w:numId w:val="7"/>
        </w:numPr>
        <w:spacing w:after="60"/>
      </w:pPr>
      <w:proofErr w:type="spellStart"/>
      <w:r>
        <w:t>Rahner</w:t>
      </w:r>
      <w:proofErr w:type="spellEnd"/>
      <w:r>
        <w:t>, K. Curso fundamental sobre la fe. Barcelona: Herder.</w:t>
      </w:r>
    </w:p>
    <w:p w:rsidR="00AB78F5" w:rsidRDefault="00DC79DC">
      <w:pPr>
        <w:pStyle w:val="Prrafodelista"/>
        <w:numPr>
          <w:ilvl w:val="0"/>
          <w:numId w:val="7"/>
        </w:numPr>
        <w:spacing w:after="60"/>
      </w:pPr>
      <w:r>
        <w:t>Otto, R. Lo Santo. Madrid: Alianza.</w:t>
      </w:r>
    </w:p>
    <w:sectPr w:rsidR="00AB78F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24B83"/>
    <w:multiLevelType w:val="hybridMultilevel"/>
    <w:tmpl w:val="5EF0732E"/>
    <w:lvl w:ilvl="0" w:tplc="094AB56A">
      <w:start w:val="1"/>
      <w:numFmt w:val="lowerLetter"/>
      <w:lvlText w:val="%1)"/>
      <w:lvlJc w:val="left"/>
      <w:pPr>
        <w:ind w:left="720" w:hanging="360"/>
      </w:pPr>
    </w:lvl>
    <w:lvl w:ilvl="1" w:tplc="3876909C">
      <w:numFmt w:val="decimal"/>
      <w:lvlText w:val=""/>
      <w:lvlJc w:val="left"/>
    </w:lvl>
    <w:lvl w:ilvl="2" w:tplc="371A6718">
      <w:numFmt w:val="decimal"/>
      <w:lvlText w:val=""/>
      <w:lvlJc w:val="left"/>
    </w:lvl>
    <w:lvl w:ilvl="3" w:tplc="5F90AD76">
      <w:numFmt w:val="decimal"/>
      <w:lvlText w:val=""/>
      <w:lvlJc w:val="left"/>
    </w:lvl>
    <w:lvl w:ilvl="4" w:tplc="213AF6DA">
      <w:numFmt w:val="decimal"/>
      <w:lvlText w:val=""/>
      <w:lvlJc w:val="left"/>
    </w:lvl>
    <w:lvl w:ilvl="5" w:tplc="A2CC16CC">
      <w:numFmt w:val="decimal"/>
      <w:lvlText w:val=""/>
      <w:lvlJc w:val="left"/>
    </w:lvl>
    <w:lvl w:ilvl="6" w:tplc="E03E53A0">
      <w:numFmt w:val="decimal"/>
      <w:lvlText w:val=""/>
      <w:lvlJc w:val="left"/>
    </w:lvl>
    <w:lvl w:ilvl="7" w:tplc="AE406394">
      <w:numFmt w:val="decimal"/>
      <w:lvlText w:val=""/>
      <w:lvlJc w:val="left"/>
    </w:lvl>
    <w:lvl w:ilvl="8" w:tplc="C1603088">
      <w:numFmt w:val="decimal"/>
      <w:lvlText w:val=""/>
      <w:lvlJc w:val="left"/>
    </w:lvl>
  </w:abstractNum>
  <w:abstractNum w:abstractNumId="1" w15:restartNumberingAfterBreak="0">
    <w:nsid w:val="36495018"/>
    <w:multiLevelType w:val="hybridMultilevel"/>
    <w:tmpl w:val="BA26D69C"/>
    <w:lvl w:ilvl="0" w:tplc="D3B68A8A">
      <w:start w:val="1"/>
      <w:numFmt w:val="decimal"/>
      <w:lvlText w:val="%1."/>
      <w:lvlJc w:val="left"/>
      <w:pPr>
        <w:ind w:left="720" w:hanging="360"/>
      </w:pPr>
    </w:lvl>
    <w:lvl w:ilvl="1" w:tplc="61A6B4B4">
      <w:numFmt w:val="decimal"/>
      <w:lvlText w:val=""/>
      <w:lvlJc w:val="left"/>
    </w:lvl>
    <w:lvl w:ilvl="2" w:tplc="EDD8367A">
      <w:numFmt w:val="decimal"/>
      <w:lvlText w:val=""/>
      <w:lvlJc w:val="left"/>
    </w:lvl>
    <w:lvl w:ilvl="3" w:tplc="57AA6C80">
      <w:numFmt w:val="decimal"/>
      <w:lvlText w:val=""/>
      <w:lvlJc w:val="left"/>
    </w:lvl>
    <w:lvl w:ilvl="4" w:tplc="D1343B5E">
      <w:numFmt w:val="decimal"/>
      <w:lvlText w:val=""/>
      <w:lvlJc w:val="left"/>
    </w:lvl>
    <w:lvl w:ilvl="5" w:tplc="17B855D0">
      <w:numFmt w:val="decimal"/>
      <w:lvlText w:val=""/>
      <w:lvlJc w:val="left"/>
    </w:lvl>
    <w:lvl w:ilvl="6" w:tplc="97DAF928">
      <w:numFmt w:val="decimal"/>
      <w:lvlText w:val=""/>
      <w:lvlJc w:val="left"/>
    </w:lvl>
    <w:lvl w:ilvl="7" w:tplc="08D2D70E">
      <w:numFmt w:val="decimal"/>
      <w:lvlText w:val=""/>
      <w:lvlJc w:val="left"/>
    </w:lvl>
    <w:lvl w:ilvl="8" w:tplc="E758AFBE">
      <w:numFmt w:val="decimal"/>
      <w:lvlText w:val=""/>
      <w:lvlJc w:val="left"/>
    </w:lvl>
  </w:abstractNum>
  <w:abstractNum w:abstractNumId="2" w15:restartNumberingAfterBreak="0">
    <w:nsid w:val="41E07194"/>
    <w:multiLevelType w:val="hybridMultilevel"/>
    <w:tmpl w:val="024ED2DA"/>
    <w:lvl w:ilvl="0" w:tplc="97A2BDD2">
      <w:start w:val="1"/>
      <w:numFmt w:val="decimal"/>
      <w:lvlText w:val="%1."/>
      <w:lvlJc w:val="left"/>
      <w:pPr>
        <w:ind w:left="720" w:hanging="360"/>
      </w:pPr>
    </w:lvl>
    <w:lvl w:ilvl="1" w:tplc="D3340406">
      <w:numFmt w:val="decimal"/>
      <w:lvlText w:val=""/>
      <w:lvlJc w:val="left"/>
    </w:lvl>
    <w:lvl w:ilvl="2" w:tplc="C76AD86C">
      <w:numFmt w:val="decimal"/>
      <w:lvlText w:val=""/>
      <w:lvlJc w:val="left"/>
    </w:lvl>
    <w:lvl w:ilvl="3" w:tplc="347E381A">
      <w:numFmt w:val="decimal"/>
      <w:lvlText w:val=""/>
      <w:lvlJc w:val="left"/>
    </w:lvl>
    <w:lvl w:ilvl="4" w:tplc="BAD4F1B8">
      <w:numFmt w:val="decimal"/>
      <w:lvlText w:val=""/>
      <w:lvlJc w:val="left"/>
    </w:lvl>
    <w:lvl w:ilvl="5" w:tplc="A2285BDC">
      <w:numFmt w:val="decimal"/>
      <w:lvlText w:val=""/>
      <w:lvlJc w:val="left"/>
    </w:lvl>
    <w:lvl w:ilvl="6" w:tplc="967EC6B2">
      <w:numFmt w:val="decimal"/>
      <w:lvlText w:val=""/>
      <w:lvlJc w:val="left"/>
    </w:lvl>
    <w:lvl w:ilvl="7" w:tplc="47002444">
      <w:numFmt w:val="decimal"/>
      <w:lvlText w:val=""/>
      <w:lvlJc w:val="left"/>
    </w:lvl>
    <w:lvl w:ilvl="8" w:tplc="9FE80FB8">
      <w:numFmt w:val="decimal"/>
      <w:lvlText w:val=""/>
      <w:lvlJc w:val="left"/>
    </w:lvl>
  </w:abstractNum>
  <w:abstractNum w:abstractNumId="3" w15:restartNumberingAfterBreak="0">
    <w:nsid w:val="465605C7"/>
    <w:multiLevelType w:val="hybridMultilevel"/>
    <w:tmpl w:val="84789292"/>
    <w:lvl w:ilvl="0" w:tplc="99C00810">
      <w:start w:val="1"/>
      <w:numFmt w:val="decimal"/>
      <w:lvlText w:val="%1."/>
      <w:lvlJc w:val="left"/>
      <w:pPr>
        <w:ind w:left="720" w:hanging="360"/>
      </w:pPr>
    </w:lvl>
    <w:lvl w:ilvl="1" w:tplc="98463D68">
      <w:numFmt w:val="decimal"/>
      <w:lvlText w:val=""/>
      <w:lvlJc w:val="left"/>
    </w:lvl>
    <w:lvl w:ilvl="2" w:tplc="3458672C">
      <w:numFmt w:val="decimal"/>
      <w:lvlText w:val=""/>
      <w:lvlJc w:val="left"/>
    </w:lvl>
    <w:lvl w:ilvl="3" w:tplc="5B788456">
      <w:numFmt w:val="decimal"/>
      <w:lvlText w:val=""/>
      <w:lvlJc w:val="left"/>
    </w:lvl>
    <w:lvl w:ilvl="4" w:tplc="7F541674">
      <w:numFmt w:val="decimal"/>
      <w:lvlText w:val=""/>
      <w:lvlJc w:val="left"/>
    </w:lvl>
    <w:lvl w:ilvl="5" w:tplc="CD48DF0C">
      <w:numFmt w:val="decimal"/>
      <w:lvlText w:val=""/>
      <w:lvlJc w:val="left"/>
    </w:lvl>
    <w:lvl w:ilvl="6" w:tplc="86CCDCA6">
      <w:numFmt w:val="decimal"/>
      <w:lvlText w:val=""/>
      <w:lvlJc w:val="left"/>
    </w:lvl>
    <w:lvl w:ilvl="7" w:tplc="5EF2C8B6">
      <w:numFmt w:val="decimal"/>
      <w:lvlText w:val=""/>
      <w:lvlJc w:val="left"/>
    </w:lvl>
    <w:lvl w:ilvl="8" w:tplc="7D0A642C">
      <w:numFmt w:val="decimal"/>
      <w:lvlText w:val=""/>
      <w:lvlJc w:val="left"/>
    </w:lvl>
  </w:abstractNum>
  <w:abstractNum w:abstractNumId="4" w15:restartNumberingAfterBreak="0">
    <w:nsid w:val="4A735C41"/>
    <w:multiLevelType w:val="hybridMultilevel"/>
    <w:tmpl w:val="DBF611E4"/>
    <w:lvl w:ilvl="0" w:tplc="BE2C17CC">
      <w:start w:val="1"/>
      <w:numFmt w:val="bullet"/>
      <w:lvlText w:val="●"/>
      <w:lvlJc w:val="left"/>
      <w:pPr>
        <w:ind w:left="720" w:hanging="360"/>
      </w:pPr>
    </w:lvl>
    <w:lvl w:ilvl="1" w:tplc="752EF74A">
      <w:start w:val="1"/>
      <w:numFmt w:val="bullet"/>
      <w:lvlText w:val="○"/>
      <w:lvlJc w:val="left"/>
      <w:pPr>
        <w:ind w:left="1440" w:hanging="360"/>
      </w:pPr>
    </w:lvl>
    <w:lvl w:ilvl="2" w:tplc="6122EF6C">
      <w:start w:val="1"/>
      <w:numFmt w:val="bullet"/>
      <w:lvlText w:val="■"/>
      <w:lvlJc w:val="left"/>
      <w:pPr>
        <w:ind w:left="2160" w:hanging="360"/>
      </w:pPr>
    </w:lvl>
    <w:lvl w:ilvl="3" w:tplc="ADD677CC">
      <w:start w:val="1"/>
      <w:numFmt w:val="bullet"/>
      <w:lvlText w:val="●"/>
      <w:lvlJc w:val="left"/>
      <w:pPr>
        <w:ind w:left="2880" w:hanging="360"/>
      </w:pPr>
    </w:lvl>
    <w:lvl w:ilvl="4" w:tplc="67EC26AE">
      <w:start w:val="1"/>
      <w:numFmt w:val="bullet"/>
      <w:lvlText w:val="○"/>
      <w:lvlJc w:val="left"/>
      <w:pPr>
        <w:ind w:left="3600" w:hanging="360"/>
      </w:pPr>
    </w:lvl>
    <w:lvl w:ilvl="5" w:tplc="66C8630A">
      <w:start w:val="1"/>
      <w:numFmt w:val="bullet"/>
      <w:lvlText w:val="■"/>
      <w:lvlJc w:val="left"/>
      <w:pPr>
        <w:ind w:left="4320" w:hanging="360"/>
      </w:pPr>
    </w:lvl>
    <w:lvl w:ilvl="6" w:tplc="EA464390">
      <w:start w:val="1"/>
      <w:numFmt w:val="bullet"/>
      <w:lvlText w:val="●"/>
      <w:lvlJc w:val="left"/>
      <w:pPr>
        <w:ind w:left="5040" w:hanging="360"/>
      </w:pPr>
    </w:lvl>
    <w:lvl w:ilvl="7" w:tplc="3E62C15C">
      <w:start w:val="1"/>
      <w:numFmt w:val="bullet"/>
      <w:lvlText w:val="●"/>
      <w:lvlJc w:val="left"/>
      <w:pPr>
        <w:ind w:left="5760" w:hanging="360"/>
      </w:pPr>
    </w:lvl>
    <w:lvl w:ilvl="8" w:tplc="650AB6D0">
      <w:start w:val="1"/>
      <w:numFmt w:val="bullet"/>
      <w:lvlText w:val="●"/>
      <w:lvlJc w:val="left"/>
      <w:pPr>
        <w:ind w:left="6480" w:hanging="360"/>
      </w:pPr>
    </w:lvl>
  </w:abstractNum>
  <w:abstractNum w:abstractNumId="5" w15:restartNumberingAfterBreak="0">
    <w:nsid w:val="4DB30D31"/>
    <w:multiLevelType w:val="hybridMultilevel"/>
    <w:tmpl w:val="7A3026EA"/>
    <w:lvl w:ilvl="0" w:tplc="57026FFC">
      <w:start w:val="1"/>
      <w:numFmt w:val="decimal"/>
      <w:lvlText w:val="%1."/>
      <w:lvlJc w:val="left"/>
      <w:pPr>
        <w:ind w:left="720" w:hanging="360"/>
      </w:pPr>
    </w:lvl>
    <w:lvl w:ilvl="1" w:tplc="98EAC866">
      <w:numFmt w:val="decimal"/>
      <w:lvlText w:val=""/>
      <w:lvlJc w:val="left"/>
    </w:lvl>
    <w:lvl w:ilvl="2" w:tplc="9DE6F08A">
      <w:numFmt w:val="decimal"/>
      <w:lvlText w:val=""/>
      <w:lvlJc w:val="left"/>
    </w:lvl>
    <w:lvl w:ilvl="3" w:tplc="803C1FFE">
      <w:numFmt w:val="decimal"/>
      <w:lvlText w:val=""/>
      <w:lvlJc w:val="left"/>
    </w:lvl>
    <w:lvl w:ilvl="4" w:tplc="9E42CE76">
      <w:numFmt w:val="decimal"/>
      <w:lvlText w:val=""/>
      <w:lvlJc w:val="left"/>
    </w:lvl>
    <w:lvl w:ilvl="5" w:tplc="38B6F0D8">
      <w:numFmt w:val="decimal"/>
      <w:lvlText w:val=""/>
      <w:lvlJc w:val="left"/>
    </w:lvl>
    <w:lvl w:ilvl="6" w:tplc="2092F064">
      <w:numFmt w:val="decimal"/>
      <w:lvlText w:val=""/>
      <w:lvlJc w:val="left"/>
    </w:lvl>
    <w:lvl w:ilvl="7" w:tplc="F294AFCA">
      <w:numFmt w:val="decimal"/>
      <w:lvlText w:val=""/>
      <w:lvlJc w:val="left"/>
    </w:lvl>
    <w:lvl w:ilvl="8" w:tplc="43E28130">
      <w:numFmt w:val="decimal"/>
      <w:lvlText w:val=""/>
      <w:lvlJc w:val="left"/>
    </w:lvl>
  </w:abstractNum>
  <w:abstractNum w:abstractNumId="6" w15:restartNumberingAfterBreak="0">
    <w:nsid w:val="6AE75B7F"/>
    <w:multiLevelType w:val="hybridMultilevel"/>
    <w:tmpl w:val="B6D8ED9C"/>
    <w:lvl w:ilvl="0" w:tplc="0A28F218">
      <w:start w:val="1"/>
      <w:numFmt w:val="bullet"/>
      <w:lvlText w:val="•"/>
      <w:lvlJc w:val="left"/>
      <w:pPr>
        <w:ind w:left="720" w:hanging="360"/>
      </w:pPr>
    </w:lvl>
    <w:lvl w:ilvl="1" w:tplc="154EA6CC">
      <w:numFmt w:val="decimal"/>
      <w:lvlText w:val=""/>
      <w:lvlJc w:val="left"/>
    </w:lvl>
    <w:lvl w:ilvl="2" w:tplc="5F12D18E">
      <w:numFmt w:val="decimal"/>
      <w:lvlText w:val=""/>
      <w:lvlJc w:val="left"/>
    </w:lvl>
    <w:lvl w:ilvl="3" w:tplc="F5C29FEA">
      <w:numFmt w:val="decimal"/>
      <w:lvlText w:val=""/>
      <w:lvlJc w:val="left"/>
    </w:lvl>
    <w:lvl w:ilvl="4" w:tplc="5EBA7416">
      <w:numFmt w:val="decimal"/>
      <w:lvlText w:val=""/>
      <w:lvlJc w:val="left"/>
    </w:lvl>
    <w:lvl w:ilvl="5" w:tplc="D33C3F68">
      <w:numFmt w:val="decimal"/>
      <w:lvlText w:val=""/>
      <w:lvlJc w:val="left"/>
    </w:lvl>
    <w:lvl w:ilvl="6" w:tplc="EC52961A">
      <w:numFmt w:val="decimal"/>
      <w:lvlText w:val=""/>
      <w:lvlJc w:val="left"/>
    </w:lvl>
    <w:lvl w:ilvl="7" w:tplc="019899FC">
      <w:numFmt w:val="decimal"/>
      <w:lvlText w:val=""/>
      <w:lvlJc w:val="left"/>
    </w:lvl>
    <w:lvl w:ilvl="8" w:tplc="D1C622CE">
      <w:numFmt w:val="decimal"/>
      <w:lvlText w:val=""/>
      <w:lvlJc w:val="left"/>
    </w:lvl>
  </w:abstractNum>
  <w:num w:numId="1">
    <w:abstractNumId w:val="4"/>
    <w:lvlOverride w:ilvl="0">
      <w:startOverride w:val="1"/>
    </w:lvlOverride>
  </w:num>
  <w:num w:numId="2">
    <w:abstractNumId w:val="2"/>
    <w:lvlOverride w:ilvl="0">
      <w:startOverride w:val="1"/>
    </w:lvlOverride>
  </w:num>
  <w:num w:numId="3">
    <w:abstractNumId w:val="1"/>
    <w:lvlOverride w:ilvl="0">
      <w:startOverride w:val="1"/>
    </w:lvlOverride>
  </w:num>
  <w:num w:numId="4">
    <w:abstractNumId w:val="5"/>
    <w:lvlOverride w:ilvl="0">
      <w:startOverride w:val="1"/>
    </w:lvlOverride>
  </w:num>
  <w:num w:numId="5">
    <w:abstractNumId w:val="3"/>
    <w:lvlOverride w:ilvl="0">
      <w:startOverride w:val="1"/>
    </w:lvlOverride>
  </w:num>
  <w:num w:numId="6">
    <w:abstractNumId w:val="0"/>
    <w:lvlOverride w:ilvl="0">
      <w:startOverride w:val="1"/>
    </w:lvlOverride>
  </w:num>
  <w:num w:numId="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8F5"/>
    <w:rsid w:val="00AB78F5"/>
    <w:rsid w:val="00DC79D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35C736-091F-4131-B248-75F056AA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EC" w:eastAsia="es-EC"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spacing w:before="360" w:after="200"/>
      <w:outlineLvl w:val="0"/>
    </w:pPr>
    <w:rPr>
      <w:rFonts w:ascii="Georgia" w:eastAsia="Georgia" w:hAnsi="Georgia" w:cs="Georgia"/>
      <w:b/>
      <w:bCs/>
      <w:color w:val="3C1642"/>
      <w:sz w:val="36"/>
      <w:szCs w:val="36"/>
    </w:rPr>
  </w:style>
  <w:style w:type="paragraph" w:styleId="Ttulo2">
    <w:name w:val="heading 2"/>
    <w:qFormat/>
    <w:pPr>
      <w:spacing w:before="280" w:after="160"/>
      <w:outlineLvl w:val="1"/>
    </w:pPr>
    <w:rPr>
      <w:rFonts w:ascii="Georgia" w:eastAsia="Georgia" w:hAnsi="Georgia" w:cs="Georgia"/>
      <w:b/>
      <w:bCs/>
      <w:color w:val="5C2D82"/>
      <w:sz w:val="28"/>
      <w:szCs w:val="28"/>
    </w:rPr>
  </w:style>
  <w:style w:type="paragraph" w:styleId="Ttulo3">
    <w:name w:val="heading 3"/>
    <w:qFormat/>
    <w:pPr>
      <w:spacing w:before="200" w:after="120"/>
      <w:outlineLvl w:val="2"/>
    </w:pPr>
    <w:rPr>
      <w:rFonts w:ascii="Georgia" w:eastAsia="Georgia" w:hAnsi="Georgia" w:cs="Georgia"/>
      <w:b/>
      <w:bCs/>
      <w:color w:val="7B2D4E"/>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1647</Words>
  <Characters>9062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Christian Jaramillo Baquerizo</cp:lastModifiedBy>
  <cp:revision>2</cp:revision>
  <dcterms:created xsi:type="dcterms:W3CDTF">2026-03-25T00:09:00Z</dcterms:created>
  <dcterms:modified xsi:type="dcterms:W3CDTF">2026-03-25T00:09:00Z</dcterms:modified>
</cp:coreProperties>
</file>