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rFonts w:ascii="Calibri" w:cs="Calibri" w:eastAsia="Calibri" w:hAnsi="Calibri"/>
          <w:b/>
          <w:bCs/>
          <w:color w:val="8C6A2A"/>
          <w:spacing w:val="60"/>
          <w:sz w:val="20"/>
          <w:szCs w:val="20"/>
        </w:rPr>
        <w:t xml:space="preserve">ACTIVIDAD INDIVIDUAL DE PREPARACIÓN</w:t>
      </w:r>
    </w:p>
    <w:p>
      <w:pPr>
        <w:spacing w:after="100"/>
        <w:jc w:val="center"/>
      </w:pPr>
      <w:r>
        <w:rPr>
          <w:rFonts w:ascii="Cambria" w:cs="Cambria" w:eastAsia="Cambria" w:hAnsi="Cambria"/>
          <w:b/>
          <w:bCs/>
          <w:color w:val="6B1F2A"/>
          <w:sz w:val="40"/>
          <w:szCs w:val="40"/>
        </w:rPr>
        <w:t xml:space="preserve">Antes del misterio: dispongamos el oído</w:t>
      </w:r>
    </w:p>
    <w:p>
      <w:pPr>
        <w:spacing w:after="240"/>
        <w:jc w:val="center"/>
      </w:pPr>
      <w:r>
        <w:rPr>
          <w:rFonts w:ascii="Cambria" w:cs="Cambria" w:eastAsia="Cambria" w:hAnsi="Cambria"/>
          <w:i/>
          <w:iCs/>
          <w:color w:val="5A5A5A"/>
          <w:sz w:val="24"/>
          <w:szCs w:val="24"/>
        </w:rPr>
        <w:t xml:space="preserve">Preparación previa para la cátedra sobre el dogma de la Santísima Trinidad</w:t>
      </w:r>
    </w:p>
    <w:p>
      <w:pPr>
        <w:pBdr>
          <w:top w:val="single" w:color="8C6A2A" w:sz="8" w:space="6"/>
          <w:bottom w:val="single" w:color="8C6A2A" w:sz="8" w:space="6"/>
        </w:pBdr>
        <w:spacing w:after="80"/>
        <w:jc w:val="center"/>
      </w:pPr>
      <w:r>
        <w:rPr>
          <w:rFonts w:ascii="Calibri" w:cs="Calibri" w:eastAsia="Calibri" w:hAnsi="Calibri"/>
          <w:color w:val="5A5A5A"/>
          <w:sz w:val="20"/>
          <w:szCs w:val="20"/>
        </w:rPr>
        <w:t xml:space="preserve">Modalidad: individual    |    Duración: aprox. 60 minutos</w:t>
      </w:r>
    </w:p>
    <w:p>
      <w:pPr>
        <w:spacing w:before="240"/>
      </w:pPr>
      <w:r>
        <w:t xml:space="preserve"/>
      </w:r>
    </w:p>
    <w:p>
      <w:pPr>
        <w:pBdr>
          <w:left w:val="single" w:color="8C6A2A" w:sz="18" w:space="12"/>
        </w:pBdr>
        <w:spacing w:after="200" w:before="160" w:line="300"/>
        <w:ind w:left="720" w:right="360"/>
        <w:jc w:val="both"/>
      </w:pPr>
      <w:r>
        <w:rPr>
          <w:rFonts w:ascii="Cambria" w:cs="Cambria" w:eastAsia="Cambria" w:hAnsi="Cambria"/>
          <w:i/>
          <w:iCs/>
          <w:color w:val="5A5A5A"/>
          <w:sz w:val="22"/>
          <w:szCs w:val="22"/>
        </w:rPr>
        <w:t xml:space="preserve">«Si comprendes, no es Dios» (San Agustín, Sermo 117). Esta actividad no busca darte respuestas; busca afilar tus preguntas, para que llegues a la cátedra con un oído ya despierto al misterio.</w:t>
      </w:r>
    </w:p>
    <w:p>
      <w:pPr>
        <w:pStyle w:val="Heading1"/>
        <w:pBdr>
          <w:bottom w:val="single" w:color="8C6A2A" w:sz="8" w:space="6"/>
        </w:pBdr>
        <w:spacing w:after="200" w:before="360"/>
      </w:pPr>
      <w:r>
        <w:rPr>
          <w:rFonts w:ascii="Cambria" w:cs="Cambria" w:eastAsia="Cambria" w:hAnsi="Cambria"/>
          <w:b/>
          <w:bCs/>
          <w:color w:val="6B1F2A"/>
          <w:sz w:val="32"/>
          <w:szCs w:val="32"/>
        </w:rPr>
        <w:t xml:space="preserve">Objetivos</w:t>
      </w:r>
    </w:p>
    <w:p>
      <w:pPr>
        <w:spacing w:after="120" w:before="0" w:line="320"/>
        <w:jc w:val="both"/>
      </w:pPr>
      <w:r>
        <w:rPr>
          <w:rFonts w:ascii="Cambria" w:cs="Cambria" w:eastAsia="Cambria" w:hAnsi="Cambria"/>
          <w:color w:val="1F1F1F"/>
          <w:sz w:val="22"/>
          <w:szCs w:val="22"/>
        </w:rPr>
        <w:t xml:space="preserve">Al concluir esta actividad, el estudiante podrá:</w:t>
      </w:r>
    </w:p>
    <w:p>
      <w:pPr>
        <w:pStyle w:val="ListParagraph"/>
        <w:numPr>
          <w:ilvl w:val="0"/>
          <w:numId w:val="2"/>
        </w:numPr>
        <w:spacing w:after="80" w:before="60" w:line="300"/>
        <w:jc w:val="both"/>
      </w:pPr>
      <w:r>
        <w:rPr>
          <w:rFonts w:ascii="Cambria" w:cs="Cambria" w:eastAsia="Cambria" w:hAnsi="Cambria"/>
          <w:i w:val="false"/>
          <w:iCs w:val="false"/>
          <w:color w:val="1F1F1F"/>
          <w:sz w:val="22"/>
          <w:szCs w:val="22"/>
        </w:rPr>
        <w:t xml:space="preserve">Reconocer las preguntas fundamentales que el dogma trinitario busca responder.</w:t>
      </w:r>
    </w:p>
    <w:p>
      <w:pPr>
        <w:pStyle w:val="ListParagraph"/>
        <w:numPr>
          <w:ilvl w:val="0"/>
          <w:numId w:val="2"/>
        </w:numPr>
        <w:spacing w:after="80" w:before="60" w:line="300"/>
        <w:jc w:val="both"/>
      </w:pPr>
      <w:r>
        <w:rPr>
          <w:rFonts w:ascii="Cambria" w:cs="Cambria" w:eastAsia="Cambria" w:hAnsi="Cambria"/>
          <w:i w:val="false"/>
          <w:iCs w:val="false"/>
          <w:color w:val="1F1F1F"/>
          <w:sz w:val="22"/>
          <w:szCs w:val="22"/>
        </w:rPr>
        <w:t xml:space="preserve">Identificar y comentar pasajes bíblicos clave que fundamentan la fe trinitaria.</w:t>
      </w:r>
    </w:p>
    <w:p>
      <w:pPr>
        <w:pStyle w:val="ListParagraph"/>
        <w:numPr>
          <w:ilvl w:val="0"/>
          <w:numId w:val="2"/>
        </w:numPr>
        <w:spacing w:after="80" w:before="60" w:line="300"/>
        <w:jc w:val="both"/>
      </w:pPr>
      <w:r>
        <w:rPr>
          <w:rFonts w:ascii="Cambria" w:cs="Cambria" w:eastAsia="Cambria" w:hAnsi="Cambria"/>
          <w:i w:val="false"/>
          <w:iCs w:val="false"/>
          <w:color w:val="1F1F1F"/>
          <w:sz w:val="22"/>
          <w:szCs w:val="22"/>
        </w:rPr>
        <w:t xml:space="preserve">Familiarizarse con vocabulario filosófico esencial: sustancia, persona y relación.</w:t>
      </w:r>
    </w:p>
    <w:p>
      <w:pPr>
        <w:pStyle w:val="ListParagraph"/>
        <w:numPr>
          <w:ilvl w:val="0"/>
          <w:numId w:val="2"/>
        </w:numPr>
        <w:spacing w:after="80" w:before="60" w:line="300"/>
        <w:jc w:val="both"/>
      </w:pPr>
      <w:r>
        <w:rPr>
          <w:rFonts w:ascii="Cambria" w:cs="Cambria" w:eastAsia="Cambria" w:hAnsi="Cambria"/>
          <w:i w:val="false"/>
          <w:iCs w:val="false"/>
          <w:color w:val="1F1F1F"/>
          <w:sz w:val="22"/>
          <w:szCs w:val="22"/>
        </w:rPr>
        <w:t xml:space="preserve">Evaluar críticamente las analogías comunes sobre la Trinidad y detectar sus límites.</w:t>
      </w:r>
    </w:p>
    <w:p>
      <w:pPr>
        <w:pStyle w:val="ListParagraph"/>
        <w:numPr>
          <w:ilvl w:val="0"/>
          <w:numId w:val="2"/>
        </w:numPr>
        <w:spacing w:after="80" w:before="60" w:line="300"/>
        <w:jc w:val="both"/>
      </w:pPr>
      <w:r>
        <w:rPr>
          <w:rFonts w:ascii="Cambria" w:cs="Cambria" w:eastAsia="Cambria" w:hAnsi="Cambria"/>
          <w:i w:val="false"/>
          <w:iCs w:val="false"/>
          <w:color w:val="1F1F1F"/>
          <w:sz w:val="22"/>
          <w:szCs w:val="22"/>
        </w:rPr>
        <w:t xml:space="preserve">Formular preguntas precisas para enriquecer la cátedra y su propio aprendizaje.</w:t>
      </w:r>
    </w:p>
    <w:p>
      <w:pPr>
        <w:pStyle w:val="Heading1"/>
        <w:pBdr>
          <w:bottom w:val="single" w:color="8C6A2A" w:sz="8" w:space="6"/>
        </w:pBdr>
        <w:spacing w:after="200" w:before="360"/>
      </w:pPr>
      <w:r>
        <w:rPr>
          <w:rFonts w:ascii="Cambria" w:cs="Cambria" w:eastAsia="Cambria" w:hAnsi="Cambria"/>
          <w:b/>
          <w:bCs/>
          <w:color w:val="6B1F2A"/>
          <w:sz w:val="32"/>
          <w:szCs w:val="32"/>
        </w:rPr>
        <w:t xml:space="preserve">Instrucciones generales</w:t>
      </w:r>
    </w:p>
    <w:p>
      <w:pPr>
        <w:spacing w:after="120" w:before="0" w:line="320"/>
        <w:jc w:val="both"/>
      </w:pPr>
      <w:r>
        <w:rPr>
          <w:rFonts w:ascii="Cambria" w:cs="Cambria" w:eastAsia="Cambria" w:hAnsi="Cambria"/>
          <w:color w:val="1F1F1F"/>
          <w:sz w:val="22"/>
          <w:szCs w:val="22"/>
        </w:rPr>
        <w:t xml:space="preserve">Esta actividad es individual y debe realizarse con calma, en un cuaderno personal o en un documento digital. No es un examen; es un ejercicio que dispone tu mente y tu corazón al misterio. Distribuye tu tiempo conforme a las indicaciones de cada parte. Al final llevarás a la sesión presencial tres preguntas formuladas por ti mismo.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C6A2A" w:sz="6"/>
              <w:left w:val="single" w:color="8C6A2A" w:sz="6"/>
              <w:bottom w:val="single" w:color="8C6A2A" w:sz="6"/>
              <w:right w:val="single" w:color="8C6A2A" w:sz="6"/>
            </w:tcBorders>
            <w:shd w:fill="FBF6EC" w:val="clear"/>
            <w:tcMar>
              <w:top w:type="dxa" w:w="160"/>
              <w:left w:type="dxa" w:w="240"/>
              <w:bottom w:type="dxa" w:w="160"/>
              <w:right w:type="dxa" w:w="240"/>
            </w:tcMar>
          </w:tcPr>
          <w:p>
            <w:pPr>
              <w:spacing w:after="80"/>
            </w:pPr>
            <w:r>
              <w:rPr>
                <w:rFonts w:ascii="Calibri" w:cs="Calibri" w:eastAsia="Calibri" w:hAnsi="Calibri"/>
                <w:b/>
                <w:bCs/>
                <w:color w:val="6B1F2A"/>
                <w:sz w:val="20"/>
                <w:szCs w:val="20"/>
              </w:rPr>
              <w:t xml:space="preserve">Recomendación previa</w:t>
            </w:r>
          </w:p>
          <w:p>
            <w:pPr>
              <w:jc w:val="both"/>
            </w:pPr>
            <w:r>
              <w:rPr>
                <w:rFonts w:ascii="Cambria" w:cs="Cambria" w:eastAsia="Cambria" w:hAnsi="Cambria"/>
                <w:color w:val="1F1F1F"/>
                <w:sz w:val="22"/>
                <w:szCs w:val="22"/>
              </w:rPr>
              <w:t xml:space="preserve">No consultes en internet «qué es la Trinidad» ni leas el Catecismo en este momento. La actividad pretende justamente que llegues con preguntas, no con respuestas prefabricadas. Si encuentras un término que no entiendes, anótalo en lugar de buscarlo: lo trabajaremos en clase.</w:t>
            </w:r>
          </w:p>
        </w:tc>
      </w:tr>
    </w:tbl>
    <w:p>
      <w:pPr>
        <w:pStyle w:val="Heading1"/>
        <w:pBdr>
          <w:bottom w:val="single" w:color="8C6A2A" w:sz="8" w:space="6"/>
        </w:pBdr>
        <w:spacing w:after="200" w:before="360"/>
      </w:pPr>
      <w:r>
        <w:rPr>
          <w:rFonts w:ascii="Cambria" w:cs="Cambria" w:eastAsia="Cambria" w:hAnsi="Cambria"/>
          <w:b/>
          <w:bCs/>
          <w:color w:val="6B1F2A"/>
          <w:sz w:val="32"/>
          <w:szCs w:val="32"/>
        </w:rPr>
        <w:t xml:space="preserve">Parte 1 — Reflexión personal inicial</w:t>
      </w:r>
    </w:p>
    <w:p>
      <w:pPr>
        <w:spacing w:after="120" w:before="0" w:line="320"/>
        <w:jc w:val="both"/>
      </w:pPr>
      <w:r>
        <w:rPr>
          <w:rFonts w:ascii="Cambria" w:cs="Cambria" w:eastAsia="Cambria" w:hAnsi="Cambria"/>
          <w:i/>
          <w:iCs/>
          <w:color w:val="5A5A5A"/>
          <w:sz w:val="20"/>
          <w:szCs w:val="20"/>
        </w:rPr>
        <w:t xml:space="preserve">Tiempo estimado: 10 minutos.</w:t>
      </w:r>
    </w:p>
    <w:p>
      <w:pPr>
        <w:spacing w:after="120" w:before="0" w:line="320"/>
        <w:jc w:val="both"/>
      </w:pPr>
      <w:r>
        <w:rPr>
          <w:rFonts w:ascii="Cambria" w:cs="Cambria" w:eastAsia="Cambria" w:hAnsi="Cambria"/>
          <w:color w:val="1F1F1F"/>
          <w:sz w:val="22"/>
          <w:szCs w:val="22"/>
        </w:rPr>
        <w:t xml:space="preserve">Antes de abrir cualquier texto, responde por escrito y con honestidad:</w:t>
      </w:r>
    </w:p>
    <w:p>
      <w:pPr>
        <w:pStyle w:val="ListParagraph"/>
        <w:numPr>
          <w:ilvl w:val="0"/>
          <w:numId w:val="3"/>
        </w:numPr>
        <w:spacing w:after="100" w:before="60" w:line="300"/>
        <w:jc w:val="both"/>
      </w:pPr>
      <w:r>
        <w:rPr>
          <w:rFonts w:ascii="Cambria" w:cs="Cambria" w:eastAsia="Cambria" w:hAnsi="Cambria"/>
          <w:color w:val="1F1F1F"/>
          <w:sz w:val="22"/>
          <w:szCs w:val="22"/>
        </w:rPr>
        <w:t xml:space="preserve">¿Qué entiendes hoy, con tus propias palabras, por la afirmación «Dios es uno y trino»?</w:t>
      </w:r>
    </w:p>
    <w:p>
      <w:pPr>
        <w:pStyle w:val="ListParagraph"/>
        <w:numPr>
          <w:ilvl w:val="0"/>
          <w:numId w:val="3"/>
        </w:numPr>
        <w:spacing w:after="100" w:before="60" w:line="300"/>
        <w:jc w:val="both"/>
      </w:pPr>
      <w:r>
        <w:rPr>
          <w:rFonts w:ascii="Cambria" w:cs="Cambria" w:eastAsia="Cambria" w:hAnsi="Cambria"/>
          <w:color w:val="1F1F1F"/>
          <w:sz w:val="22"/>
          <w:szCs w:val="22"/>
        </w:rPr>
        <w:t xml:space="preserve">Si tuvieras que explicar la Trinidad a un niño o a un no creyente, ¿qué dirías? Escríbelo en cuatro o cinco oraciones.</w:t>
      </w:r>
    </w:p>
    <w:p>
      <w:pPr>
        <w:pStyle w:val="ListParagraph"/>
        <w:numPr>
          <w:ilvl w:val="0"/>
          <w:numId w:val="3"/>
        </w:numPr>
        <w:spacing w:after="100" w:before="60" w:line="300"/>
        <w:jc w:val="both"/>
      </w:pPr>
      <w:r>
        <w:rPr>
          <w:rFonts w:ascii="Cambria" w:cs="Cambria" w:eastAsia="Cambria" w:hAnsi="Cambria"/>
          <w:color w:val="1F1F1F"/>
          <w:sz w:val="22"/>
          <w:szCs w:val="22"/>
        </w:rPr>
        <w:t xml:space="preserve">¿Qué dudas o dificultades te plantea esta doctrina? Anota al menos tres.</w:t>
      </w:r>
    </w:p>
    <w:p>
      <w:pPr>
        <w:pStyle w:val="ListParagraph"/>
        <w:numPr>
          <w:ilvl w:val="0"/>
          <w:numId w:val="3"/>
        </w:numPr>
        <w:spacing w:after="100" w:before="60" w:line="300"/>
        <w:jc w:val="both"/>
      </w:pPr>
      <w:r>
        <w:rPr>
          <w:rFonts w:ascii="Cambria" w:cs="Cambria" w:eastAsia="Cambria" w:hAnsi="Cambria"/>
          <w:color w:val="1F1F1F"/>
          <w:sz w:val="22"/>
          <w:szCs w:val="22"/>
        </w:rPr>
        <w:t xml:space="preserve">¿Recuerdas alguna imagen, película, predicación o explicación sobre la Trinidad que te haya marcado, ya sea positiva o negativamente? Descríbela brevemente.</w:t>
      </w:r>
    </w:p>
    <w:p>
      <w:pPr>
        <w:spacing w:after="120" w:before="0" w:line="320"/>
        <w:jc w:val="both"/>
      </w:pPr>
      <w:r>
        <w:rPr>
          <w:rFonts w:ascii="Cambria" w:cs="Cambria" w:eastAsia="Cambria" w:hAnsi="Cambria"/>
          <w:color w:val="1F1F1F"/>
          <w:sz w:val="22"/>
          <w:szCs w:val="22"/>
        </w:rPr>
        <w:t xml:space="preserve">Estas respuestas iniciales son tu «punto de partida». Después de la cátedra volverás a ellas para advertir tu propio recorrido y constatar lo que ha cambiado en tu comprensión.</w:t>
      </w:r>
    </w:p>
    <w:p>
      <w:pPr>
        <w:pStyle w:val="Heading1"/>
        <w:pBdr>
          <w:bottom w:val="single" w:color="8C6A2A" w:sz="8" w:space="6"/>
        </w:pBdr>
        <w:spacing w:after="200" w:before="360"/>
      </w:pPr>
      <w:r>
        <w:rPr>
          <w:rFonts w:ascii="Cambria" w:cs="Cambria" w:eastAsia="Cambria" w:hAnsi="Cambria"/>
          <w:b/>
          <w:bCs/>
          <w:color w:val="6B1F2A"/>
          <w:sz w:val="32"/>
          <w:szCs w:val="32"/>
        </w:rPr>
        <w:t xml:space="preserve">Parte 2 — Exploración bíblica guiada</w:t>
      </w:r>
    </w:p>
    <w:p>
      <w:pPr>
        <w:spacing w:after="120" w:before="0" w:line="320"/>
        <w:jc w:val="both"/>
      </w:pPr>
      <w:r>
        <w:rPr>
          <w:rFonts w:ascii="Cambria" w:cs="Cambria" w:eastAsia="Cambria" w:hAnsi="Cambria"/>
          <w:i/>
          <w:iCs/>
          <w:color w:val="5A5A5A"/>
          <w:sz w:val="20"/>
          <w:szCs w:val="20"/>
        </w:rPr>
        <w:t xml:space="preserve">Tiempo estimado: 15 minutos.</w:t>
      </w:r>
    </w:p>
    <w:p>
      <w:pPr>
        <w:spacing w:after="120" w:before="0" w:line="320"/>
        <w:jc w:val="both"/>
      </w:pPr>
      <w:r>
        <w:rPr>
          <w:rFonts w:ascii="Cambria" w:cs="Cambria" w:eastAsia="Cambria" w:hAnsi="Cambria"/>
          <w:color w:val="1F1F1F"/>
          <w:sz w:val="22"/>
          <w:szCs w:val="22"/>
        </w:rPr>
        <w:t xml:space="preserve">Lee atentamente los siguientes pasajes en tu Biblia (puedes usar la edición que prefieras: Biblia de Jerusalén, Reina-Valera Católica, Nácar-Colunga). Para cada texto, anota tu observación según la pregunta que se indica. La intención no es responder con definiciones, sino observar el texto con cuidado.</w:t>
      </w:r>
    </w:p>
    <w:p>
      <w:pPr>
        <w:pStyle w:val="Heading3"/>
        <w:spacing w:after="100" w:before="200"/>
      </w:pPr>
      <w:r>
        <w:rPr>
          <w:rFonts w:ascii="Cambria" w:cs="Cambria" w:eastAsia="Cambria" w:hAnsi="Cambria"/>
          <w:b/>
          <w:bCs/>
          <w:i/>
          <w:iCs/>
          <w:color w:val="8C6A2A"/>
          <w:sz w:val="22"/>
          <w:szCs w:val="22"/>
        </w:rPr>
        <w:t xml:space="preserve">a) Génesis 1,1-3 y 1,26-27</w:t>
      </w:r>
    </w:p>
    <w:p>
      <w:pPr>
        <w:spacing w:after="120" w:before="0" w:line="320"/>
        <w:jc w:val="both"/>
      </w:pPr>
      <w:r>
        <w:rPr>
          <w:rFonts w:ascii="Cambria" w:cs="Cambria" w:eastAsia="Cambria" w:hAnsi="Cambria"/>
          <w:color w:val="1F1F1F"/>
          <w:sz w:val="22"/>
          <w:szCs w:val="22"/>
        </w:rPr>
        <w:t xml:space="preserve">Identifica los actores divinos que aparecen en la creación. ¿Por qué te llama la atención el plural deliberativo «Hagamos al hombre»? ¿Qué tensiones o sugerencias plantea este plural en un contexto monoteísta?</w:t>
      </w:r>
    </w:p>
    <w:p>
      <w:pPr>
        <w:pStyle w:val="Heading3"/>
        <w:spacing w:after="100" w:before="200"/>
      </w:pPr>
      <w:r>
        <w:rPr>
          <w:rFonts w:ascii="Cambria" w:cs="Cambria" w:eastAsia="Cambria" w:hAnsi="Cambria"/>
          <w:b/>
          <w:bCs/>
          <w:i/>
          <w:iCs/>
          <w:color w:val="8C6A2A"/>
          <w:sz w:val="22"/>
          <w:szCs w:val="22"/>
        </w:rPr>
        <w:t xml:space="preserve">b) Mateo 3,13-17 — Bautismo de Jesús</w:t>
      </w:r>
    </w:p>
    <w:p>
      <w:pPr>
        <w:spacing w:after="120" w:before="0" w:line="320"/>
        <w:jc w:val="both"/>
      </w:pPr>
      <w:r>
        <w:rPr>
          <w:rFonts w:ascii="Cambria" w:cs="Cambria" w:eastAsia="Cambria" w:hAnsi="Cambria"/>
          <w:color w:val="1F1F1F"/>
          <w:sz w:val="22"/>
          <w:szCs w:val="22"/>
        </w:rPr>
        <w:t xml:space="preserve">Identifica las tres «presencias» divinas en la escena. ¿Cómo se manifiesta cada una? ¿Qué dice esta escena sobre la distinción y la unidad entre el Padre, el Hijo y el Espíritu?</w:t>
      </w:r>
    </w:p>
    <w:p>
      <w:pPr>
        <w:pStyle w:val="Heading3"/>
        <w:spacing w:after="100" w:before="200"/>
      </w:pPr>
      <w:r>
        <w:rPr>
          <w:rFonts w:ascii="Cambria" w:cs="Cambria" w:eastAsia="Cambria" w:hAnsi="Cambria"/>
          <w:b/>
          <w:bCs/>
          <w:i/>
          <w:iCs/>
          <w:color w:val="8C6A2A"/>
          <w:sz w:val="22"/>
          <w:szCs w:val="22"/>
        </w:rPr>
        <w:t xml:space="preserve">c) Mateo 28,18-20 — Mandato bautismal</w:t>
      </w:r>
    </w:p>
    <w:p>
      <w:pPr>
        <w:spacing w:after="120" w:before="0" w:line="320"/>
        <w:jc w:val="both"/>
      </w:pPr>
      <w:r>
        <w:rPr>
          <w:rFonts w:ascii="Cambria" w:cs="Cambria" w:eastAsia="Cambria" w:hAnsi="Cambria"/>
          <w:color w:val="1F1F1F"/>
          <w:sz w:val="22"/>
          <w:szCs w:val="22"/>
        </w:rPr>
        <w:t xml:space="preserve">Subraya la fórmula bautismal. ¿Por qué resulta significativo que diga «en el nombre» (singular) y no «en los nombres» (plural)? Anota tu hipótesis.</w:t>
      </w:r>
    </w:p>
    <w:p>
      <w:pPr>
        <w:pStyle w:val="Heading3"/>
        <w:spacing w:after="100" w:before="200"/>
      </w:pPr>
      <w:r>
        <w:rPr>
          <w:rFonts w:ascii="Cambria" w:cs="Cambria" w:eastAsia="Cambria" w:hAnsi="Cambria"/>
          <w:b/>
          <w:bCs/>
          <w:i/>
          <w:iCs/>
          <w:color w:val="8C6A2A"/>
          <w:sz w:val="22"/>
          <w:szCs w:val="22"/>
        </w:rPr>
        <w:t xml:space="preserve">d) Juan 14,15-26 y 15,26 — El Espíritu Paráclito</w:t>
      </w:r>
    </w:p>
    <w:p>
      <w:pPr>
        <w:spacing w:after="120" w:before="0" w:line="320"/>
        <w:jc w:val="both"/>
      </w:pPr>
      <w:r>
        <w:rPr>
          <w:rFonts w:ascii="Cambria" w:cs="Cambria" w:eastAsia="Cambria" w:hAnsi="Cambria"/>
          <w:color w:val="1F1F1F"/>
          <w:sz w:val="22"/>
          <w:szCs w:val="22"/>
        </w:rPr>
        <w:t xml:space="preserve">¿Quién envía al Espíritu? ¿De dónde procede el Espíritu, según estos textos? ¿Cómo se relaciona el Espíritu con el Padre y con el Hijo?</w:t>
      </w:r>
    </w:p>
    <w:p>
      <w:pPr>
        <w:pStyle w:val="Heading3"/>
        <w:spacing w:after="100" w:before="200"/>
      </w:pPr>
      <w:r>
        <w:rPr>
          <w:rFonts w:ascii="Cambria" w:cs="Cambria" w:eastAsia="Cambria" w:hAnsi="Cambria"/>
          <w:b/>
          <w:bCs/>
          <w:i/>
          <w:iCs/>
          <w:color w:val="8C6A2A"/>
          <w:sz w:val="22"/>
          <w:szCs w:val="22"/>
        </w:rPr>
        <w:t xml:space="preserve">e) Juan 1,1-18 — Prólogo joánico</w:t>
      </w:r>
    </w:p>
    <w:p>
      <w:pPr>
        <w:spacing w:after="120" w:before="0" w:line="320"/>
        <w:jc w:val="both"/>
      </w:pPr>
      <w:r>
        <w:rPr>
          <w:rFonts w:ascii="Cambria" w:cs="Cambria" w:eastAsia="Cambria" w:hAnsi="Cambria"/>
          <w:color w:val="1F1F1F"/>
          <w:sz w:val="22"/>
          <w:szCs w:val="22"/>
        </w:rPr>
        <w:t xml:space="preserve">Marca las afirmaciones que indican distinción («el Verbo estaba con Dios») y las que indican identidad («y el Verbo era Dios»). ¿Cómo conviven ambas en un mismo párrafo?</w:t>
      </w:r>
    </w:p>
    <w:p>
      <w:pPr>
        <w:pStyle w:val="Heading3"/>
        <w:spacing w:after="100" w:before="200"/>
      </w:pPr>
      <w:r>
        <w:rPr>
          <w:rFonts w:ascii="Cambria" w:cs="Cambria" w:eastAsia="Cambria" w:hAnsi="Cambria"/>
          <w:b/>
          <w:bCs/>
          <w:i/>
          <w:iCs/>
          <w:color w:val="8C6A2A"/>
          <w:sz w:val="22"/>
          <w:szCs w:val="22"/>
        </w:rPr>
        <w:t xml:space="preserve">f) 2 Corintios 13,13 — Bendición trinitaria</w:t>
      </w:r>
    </w:p>
    <w:p>
      <w:pPr>
        <w:spacing w:after="120" w:before="0" w:line="320"/>
        <w:jc w:val="both"/>
      </w:pPr>
      <w:r>
        <w:rPr>
          <w:rFonts w:ascii="Cambria" w:cs="Cambria" w:eastAsia="Cambria" w:hAnsi="Cambria"/>
          <w:color w:val="1F1F1F"/>
          <w:sz w:val="22"/>
          <w:szCs w:val="22"/>
        </w:rPr>
        <w:t xml:space="preserve">Esta fórmula es de las más antiguas. ¿Qué se atribuye a cada Persona divina? Anota cada atribución.</w:t>
      </w:r>
    </w:p>
    <w:p>
      <w:pPr>
        <w:spacing w:after="120" w:before="0" w:line="320"/>
        <w:jc w:val="both"/>
      </w:pPr>
      <w:r>
        <w:rPr>
          <w:rFonts w:ascii="Cambria" w:cs="Cambria" w:eastAsia="Cambria" w:hAnsi="Cambria"/>
          <w:b/>
          <w:bCs/>
          <w:color w:val="1F1F1F"/>
          <w:sz w:val="22"/>
          <w:szCs w:val="22"/>
        </w:rPr>
        <w:t xml:space="preserve">Al concluir esta parte, escribe en una sola oración: ¿qué te enseña la Sagrada Escritura sobre el modo en que conocemos la Trinidad?</w:t>
      </w:r>
    </w:p>
    <w:p>
      <w:pPr>
        <w:pStyle w:val="Heading1"/>
        <w:pBdr>
          <w:bottom w:val="single" w:color="8C6A2A" w:sz="8" w:space="6"/>
        </w:pBdr>
        <w:spacing w:after="200" w:before="360"/>
      </w:pPr>
      <w:r>
        <w:rPr>
          <w:rFonts w:ascii="Cambria" w:cs="Cambria" w:eastAsia="Cambria" w:hAnsi="Cambria"/>
          <w:b/>
          <w:bCs/>
          <w:color w:val="6B1F2A"/>
          <w:sz w:val="32"/>
          <w:szCs w:val="32"/>
        </w:rPr>
        <w:t xml:space="preserve">Parte 3 — Preparación filosófica</w:t>
      </w:r>
    </w:p>
    <w:p>
      <w:pPr>
        <w:spacing w:after="120" w:before="0" w:line="320"/>
        <w:jc w:val="both"/>
      </w:pPr>
      <w:r>
        <w:rPr>
          <w:rFonts w:ascii="Cambria" w:cs="Cambria" w:eastAsia="Cambria" w:hAnsi="Cambria"/>
          <w:i/>
          <w:iCs/>
          <w:color w:val="5A5A5A"/>
          <w:sz w:val="20"/>
          <w:szCs w:val="20"/>
        </w:rPr>
        <w:t xml:space="preserve">Tiempo estimado: 15 minutos.</w:t>
      </w:r>
    </w:p>
    <w:p>
      <w:pPr>
        <w:spacing w:after="120" w:before="0" w:line="320"/>
        <w:jc w:val="both"/>
      </w:pPr>
      <w:r>
        <w:rPr>
          <w:rFonts w:ascii="Cambria" w:cs="Cambria" w:eastAsia="Cambria" w:hAnsi="Cambria"/>
          <w:color w:val="1F1F1F"/>
          <w:sz w:val="22"/>
          <w:szCs w:val="22"/>
        </w:rPr>
        <w:t xml:space="preserve">La Iglesia ha empleado conceptos filosóficos para formular el dogma con precisión. Antes de la cátedra, anticipa su sentido respondiendo con tus propias palabras.</w:t>
      </w:r>
    </w:p>
    <w:p>
      <w:pPr>
        <w:pStyle w:val="Heading3"/>
        <w:spacing w:after="100" w:before="200"/>
      </w:pPr>
      <w:r>
        <w:rPr>
          <w:rFonts w:ascii="Cambria" w:cs="Cambria" w:eastAsia="Cambria" w:hAnsi="Cambria"/>
          <w:b/>
          <w:bCs/>
          <w:i/>
          <w:iCs/>
          <w:color w:val="8C6A2A"/>
          <w:sz w:val="22"/>
          <w:szCs w:val="22"/>
        </w:rPr>
        <w:t xml:space="preserve">1) Naturaleza o sustancia</w:t>
      </w:r>
    </w:p>
    <w:p>
      <w:pPr>
        <w:spacing w:after="120" w:before="0" w:line="320"/>
        <w:jc w:val="both"/>
      </w:pPr>
      <w:r>
        <w:rPr>
          <w:rFonts w:ascii="Cambria" w:cs="Cambria" w:eastAsia="Cambria" w:hAnsi="Cambria"/>
          <w:color w:val="1F1F1F"/>
          <w:sz w:val="22"/>
          <w:szCs w:val="22"/>
        </w:rPr>
        <w:t xml:space="preserve">Cuando decimos «este es un ser humano», «este es un perro», ¿qué afirmamos? ¿Qué entiendes por «naturaleza» o «esencia» de algo? Escribe una definición propia en dos líneas.</w:t>
      </w:r>
    </w:p>
    <w:p>
      <w:pPr>
        <w:pStyle w:val="Heading3"/>
        <w:spacing w:after="100" w:before="200"/>
      </w:pPr>
      <w:r>
        <w:rPr>
          <w:rFonts w:ascii="Cambria" w:cs="Cambria" w:eastAsia="Cambria" w:hAnsi="Cambria"/>
          <w:b/>
          <w:bCs/>
          <w:i/>
          <w:iCs/>
          <w:color w:val="8C6A2A"/>
          <w:sz w:val="22"/>
          <w:szCs w:val="22"/>
        </w:rPr>
        <w:t xml:space="preserve">2) Persona</w:t>
      </w:r>
    </w:p>
    <w:p>
      <w:pPr>
        <w:spacing w:after="120" w:before="0" w:line="320"/>
        <w:jc w:val="both"/>
      </w:pPr>
      <w:r>
        <w:rPr>
          <w:rFonts w:ascii="Cambria" w:cs="Cambria" w:eastAsia="Cambria" w:hAnsi="Cambria"/>
          <w:color w:val="1F1F1F"/>
          <w:sz w:val="22"/>
          <w:szCs w:val="22"/>
        </w:rPr>
        <w:t xml:space="preserve">Lee con atención esta definición clásica de Boecio (siglo VI):</w:t>
      </w:r>
    </w:p>
    <w:p>
      <w:pPr>
        <w:pBdr>
          <w:left w:val="single" w:color="8C6A2A" w:sz="18" w:space="12"/>
        </w:pBdr>
        <w:spacing w:after="200" w:before="160" w:line="300"/>
        <w:ind w:left="720" w:right="360"/>
        <w:jc w:val="both"/>
      </w:pPr>
      <w:r>
        <w:rPr>
          <w:rFonts w:ascii="Cambria" w:cs="Cambria" w:eastAsia="Cambria" w:hAnsi="Cambria"/>
          <w:i/>
          <w:iCs/>
          <w:color w:val="5A5A5A"/>
          <w:sz w:val="22"/>
          <w:szCs w:val="22"/>
        </w:rPr>
        <w:t xml:space="preserve">«Persona est rationalis naturae individua substantia». La persona es la sustancia individual de naturaleza racional. (Boecio, Liber de persona et duabus naturis, c. III)</w:t>
      </w:r>
    </w:p>
    <w:p>
      <w:pPr>
        <w:spacing w:after="120" w:before="0" w:line="320"/>
        <w:jc w:val="both"/>
      </w:pPr>
      <w:r>
        <w:rPr>
          <w:rFonts w:ascii="Cambria" w:cs="Cambria" w:eastAsia="Cambria" w:hAnsi="Cambria"/>
          <w:color w:val="1F1F1F"/>
          <w:sz w:val="22"/>
          <w:szCs w:val="22"/>
        </w:rPr>
        <w:t xml:space="preserve">Responde:</w:t>
      </w:r>
    </w:p>
    <w:p>
      <w:pPr>
        <w:pStyle w:val="ListParagraph"/>
        <w:numPr>
          <w:ilvl w:val="0"/>
          <w:numId w:val="3"/>
        </w:numPr>
        <w:spacing w:after="100" w:before="60" w:line="300"/>
        <w:jc w:val="both"/>
      </w:pPr>
      <w:r>
        <w:rPr>
          <w:rFonts w:ascii="Cambria" w:cs="Cambria" w:eastAsia="Cambria" w:hAnsi="Cambria"/>
          <w:color w:val="1F1F1F"/>
          <w:sz w:val="22"/>
          <w:szCs w:val="22"/>
        </w:rPr>
        <w:t xml:space="preserve">¿Qué quiere decir «individual» aquí? ¿En qué se diferencia de un ejemplar cualquiera de una especie?</w:t>
      </w:r>
    </w:p>
    <w:p>
      <w:pPr>
        <w:pStyle w:val="ListParagraph"/>
        <w:numPr>
          <w:ilvl w:val="0"/>
          <w:numId w:val="3"/>
        </w:numPr>
        <w:spacing w:after="100" w:before="60" w:line="300"/>
        <w:jc w:val="both"/>
      </w:pPr>
      <w:r>
        <w:rPr>
          <w:rFonts w:ascii="Cambria" w:cs="Cambria" w:eastAsia="Cambria" w:hAnsi="Cambria"/>
          <w:color w:val="1F1F1F"/>
          <w:sz w:val="22"/>
          <w:szCs w:val="22"/>
        </w:rPr>
        <w:t xml:space="preserve">¿Por qué se exige «naturaleza racional»? ¿Qué se excluiría si quitáramos esta condición?</w:t>
      </w:r>
    </w:p>
    <w:p>
      <w:pPr>
        <w:pStyle w:val="ListParagraph"/>
        <w:numPr>
          <w:ilvl w:val="0"/>
          <w:numId w:val="3"/>
        </w:numPr>
        <w:spacing w:after="100" w:before="60" w:line="300"/>
        <w:jc w:val="both"/>
      </w:pPr>
      <w:r>
        <w:rPr>
          <w:rFonts w:ascii="Cambria" w:cs="Cambria" w:eastAsia="Cambria" w:hAnsi="Cambria"/>
          <w:color w:val="1F1F1F"/>
          <w:sz w:val="22"/>
          <w:szCs w:val="22"/>
        </w:rPr>
        <w:t xml:space="preserve">Da dos ejemplos concretos de personas y dos ejemplos de sustancias que no son personas.</w:t>
      </w:r>
    </w:p>
    <w:p>
      <w:pPr>
        <w:pStyle w:val="Heading3"/>
        <w:spacing w:after="100" w:before="200"/>
      </w:pPr>
      <w:r>
        <w:rPr>
          <w:rFonts w:ascii="Cambria" w:cs="Cambria" w:eastAsia="Cambria" w:hAnsi="Cambria"/>
          <w:b/>
          <w:bCs/>
          <w:i/>
          <w:iCs/>
          <w:color w:val="8C6A2A"/>
          <w:sz w:val="22"/>
          <w:szCs w:val="22"/>
        </w:rPr>
        <w:t xml:space="preserve">3) Relación</w:t>
      </w:r>
    </w:p>
    <w:p>
      <w:pPr>
        <w:spacing w:after="120" w:before="0" w:line="320"/>
        <w:jc w:val="both"/>
      </w:pPr>
      <w:r>
        <w:rPr>
          <w:rFonts w:ascii="Cambria" w:cs="Cambria" w:eastAsia="Cambria" w:hAnsi="Cambria"/>
          <w:color w:val="1F1F1F"/>
          <w:sz w:val="22"/>
          <w:szCs w:val="22"/>
        </w:rPr>
        <w:t xml:space="preserve">En filosofía, una relación es el modo de ser referido a otro: paternidad, filiación, amistad, maestría. Reflexiona y responde:</w:t>
      </w:r>
    </w:p>
    <w:p>
      <w:pPr>
        <w:pStyle w:val="ListParagraph"/>
        <w:numPr>
          <w:ilvl w:val="0"/>
          <w:numId w:val="3"/>
        </w:numPr>
        <w:spacing w:after="100" w:before="60" w:line="300"/>
        <w:jc w:val="both"/>
      </w:pPr>
      <w:r>
        <w:rPr>
          <w:rFonts w:ascii="Cambria" w:cs="Cambria" w:eastAsia="Cambria" w:hAnsi="Cambria"/>
          <w:color w:val="1F1F1F"/>
          <w:sz w:val="22"/>
          <w:szCs w:val="22"/>
        </w:rPr>
        <w:t xml:space="preserve">¿Puede una relación ser tan profunda que constituya, no solo modifique, la identidad misma de quien la vive? Da un ejemplo de la experiencia humana.</w:t>
      </w:r>
    </w:p>
    <w:p>
      <w:pPr>
        <w:pStyle w:val="ListParagraph"/>
        <w:numPr>
          <w:ilvl w:val="0"/>
          <w:numId w:val="3"/>
        </w:numPr>
        <w:spacing w:after="100" w:before="60" w:line="300"/>
        <w:jc w:val="both"/>
      </w:pPr>
      <w:r>
        <w:rPr>
          <w:rFonts w:ascii="Cambria" w:cs="Cambria" w:eastAsia="Cambria" w:hAnsi="Cambria"/>
          <w:color w:val="1F1F1F"/>
          <w:sz w:val="22"/>
          <w:szCs w:val="22"/>
        </w:rPr>
        <w:t xml:space="preserve">¿Hay algo en la experiencia humana que se parezca a «existir siendo relación»? ¿O las relaciones humanas son siempre algo que «se añade» a una identidad ya constituida?</w:t>
      </w:r>
    </w:p>
    <w:p>
      <w:pPr>
        <w:pStyle w:val="Heading3"/>
        <w:spacing w:after="100" w:before="200"/>
      </w:pPr>
      <w:r>
        <w:rPr>
          <w:rFonts w:ascii="Cambria" w:cs="Cambria" w:eastAsia="Cambria" w:hAnsi="Cambria"/>
          <w:b/>
          <w:bCs/>
          <w:i/>
          <w:iCs/>
          <w:color w:val="8C6A2A"/>
          <w:sz w:val="22"/>
          <w:szCs w:val="22"/>
        </w:rPr>
        <w:t xml:space="preserve">4) Distinción entre «qué» y «quién»</w:t>
      </w:r>
    </w:p>
    <w:p>
      <w:pPr>
        <w:spacing w:after="120" w:before="0" w:line="320"/>
        <w:jc w:val="both"/>
      </w:pPr>
      <w:r>
        <w:rPr>
          <w:rFonts w:ascii="Cambria" w:cs="Cambria" w:eastAsia="Cambria" w:hAnsi="Cambria"/>
          <w:color w:val="1F1F1F"/>
          <w:sz w:val="22"/>
          <w:szCs w:val="22"/>
        </w:rPr>
        <w:t xml:space="preserve">¿Cuál es la diferencia entre preguntar «¿qué es esto?» y «¿quién es este?». Escribe la diferencia con un ejemplo. Esta distinción será decisiva en la cátedra.</w:t>
      </w:r>
    </w:p>
    <w:p>
      <w:pPr>
        <w:pStyle w:val="Heading1"/>
        <w:pBdr>
          <w:bottom w:val="single" w:color="8C6A2A" w:sz="8" w:space="6"/>
        </w:pBdr>
        <w:spacing w:after="200" w:before="360"/>
      </w:pPr>
      <w:r>
        <w:rPr>
          <w:rFonts w:ascii="Cambria" w:cs="Cambria" w:eastAsia="Cambria" w:hAnsi="Cambria"/>
          <w:b/>
          <w:bCs/>
          <w:color w:val="6B1F2A"/>
          <w:sz w:val="32"/>
          <w:szCs w:val="32"/>
        </w:rPr>
        <w:t xml:space="preserve">Parte 4 — Análisis crítico de analogías</w:t>
      </w:r>
    </w:p>
    <w:p>
      <w:pPr>
        <w:spacing w:after="120" w:before="0" w:line="320"/>
        <w:jc w:val="both"/>
      </w:pPr>
      <w:r>
        <w:rPr>
          <w:rFonts w:ascii="Cambria" w:cs="Cambria" w:eastAsia="Cambria" w:hAnsi="Cambria"/>
          <w:i/>
          <w:iCs/>
          <w:color w:val="5A5A5A"/>
          <w:sz w:val="20"/>
          <w:szCs w:val="20"/>
        </w:rPr>
        <w:t xml:space="preserve">Tiempo estimado: 15 minutos.</w:t>
      </w:r>
    </w:p>
    <w:p>
      <w:pPr>
        <w:spacing w:after="120" w:before="0" w:line="320"/>
        <w:jc w:val="both"/>
      </w:pPr>
      <w:r>
        <w:rPr>
          <w:rFonts w:ascii="Cambria" w:cs="Cambria" w:eastAsia="Cambria" w:hAnsi="Cambria"/>
          <w:color w:val="1F1F1F"/>
          <w:sz w:val="22"/>
          <w:szCs w:val="22"/>
        </w:rPr>
        <w:t xml:space="preserve">A lo largo de la historia, los maestros cristianos han usado analogías para acercar al misterio trinitario. Pero toda analogía es limitada y, llevada al extremo, puede sugerir una herejía. Tu tarea es evaluar, no aceptar acríticamente.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C6A2A" w:sz="6"/>
              <w:left w:val="single" w:color="8C6A2A" w:sz="6"/>
              <w:bottom w:val="single" w:color="8C6A2A" w:sz="6"/>
              <w:right w:val="single" w:color="8C6A2A" w:sz="6"/>
            </w:tcBorders>
            <w:shd w:fill="FBF6EC" w:val="clear"/>
            <w:tcMar>
              <w:top w:type="dxa" w:w="160"/>
              <w:left w:type="dxa" w:w="240"/>
              <w:bottom w:type="dxa" w:w="160"/>
              <w:right w:type="dxa" w:w="240"/>
            </w:tcMar>
          </w:tcPr>
          <w:p>
            <w:pPr>
              <w:spacing w:after="80"/>
            </w:pPr>
            <w:r>
              <w:rPr>
                <w:rFonts w:ascii="Calibri" w:cs="Calibri" w:eastAsia="Calibri" w:hAnsi="Calibri"/>
                <w:b/>
                <w:bCs/>
                <w:color w:val="6B1F2A"/>
                <w:sz w:val="20"/>
                <w:szCs w:val="20"/>
              </w:rPr>
              <w:t xml:space="preserve">Tres herejías a tener en cuenta</w:t>
            </w:r>
          </w:p>
          <w:p>
            <w:pPr>
              <w:jc w:val="both"/>
            </w:pPr>
            <w:r>
              <w:rPr>
                <w:rFonts w:ascii="Cambria" w:cs="Cambria" w:eastAsia="Cambria" w:hAnsi="Cambria"/>
                <w:color w:val="1F1F1F"/>
                <w:sz w:val="22"/>
                <w:szCs w:val="22"/>
              </w:rPr>
              <w:t xml:space="preserve">Modalismo: una sola Persona divina que se presenta en tres modos sucesivos (no hay tres distintos). Subordinacionismo: hay tres pero no son iguales en divinidad (uno es inferior a otro). Triteísmo: hay tres dioses distintos (no hay una sola sustancia). Una analogía que tomada literalmente sugiera alguna de estas tres ideas resulta peligrosa.</w:t>
            </w:r>
          </w:p>
        </w:tc>
      </w:tr>
    </w:tbl>
    <w:p>
      <w:pPr>
        <w:spacing w:after="120" w:before="0" w:line="320"/>
        <w:jc w:val="both"/>
      </w:pPr>
      <w:r>
        <w:rPr>
          <w:rFonts w:ascii="Cambria" w:cs="Cambria" w:eastAsia="Cambria" w:hAnsi="Cambria"/>
          <w:color w:val="1F1F1F"/>
          <w:sz w:val="22"/>
          <w:szCs w:val="22"/>
        </w:rPr>
        <w:t xml:space="preserve">Considera las cuatro analogías siguientes. Para cada una, anota: (a) qué intenta iluminar, y (b) cuál es su limitación o el riesgo de herejía que podría sugerir si se la tomara literalmente.</w:t>
      </w:r>
    </w:p>
    <w:p>
      <w:pPr>
        <w:pStyle w:val="Heading3"/>
        <w:spacing w:after="100" w:before="200"/>
      </w:pPr>
      <w:r>
        <w:rPr>
          <w:rFonts w:ascii="Cambria" w:cs="Cambria" w:eastAsia="Cambria" w:hAnsi="Cambria"/>
          <w:b/>
          <w:bCs/>
          <w:i/>
          <w:iCs/>
          <w:color w:val="8C6A2A"/>
          <w:sz w:val="22"/>
          <w:szCs w:val="22"/>
        </w:rPr>
        <w:t xml:space="preserve">Analogía 1 — El agua: hielo, líquido y vapor</w:t>
      </w:r>
    </w:p>
    <w:p>
      <w:pPr>
        <w:spacing w:after="120" w:before="0" w:line="320"/>
        <w:jc w:val="both"/>
      </w:pPr>
      <w:r>
        <w:rPr>
          <w:rFonts w:ascii="Cambria" w:cs="Cambria" w:eastAsia="Cambria" w:hAnsi="Cambria"/>
          <w:color w:val="1F1F1F"/>
          <w:sz w:val="22"/>
          <w:szCs w:val="22"/>
        </w:rPr>
        <w:t xml:space="preserve">Una sola sustancia (H₂O) en tres estados. ¿Qué ilumina? ¿Qué falla? ¿De qué herejía sería sospechosa?</w:t>
      </w:r>
    </w:p>
    <w:p>
      <w:pPr>
        <w:pStyle w:val="Heading3"/>
        <w:spacing w:after="100" w:before="200"/>
      </w:pPr>
      <w:r>
        <w:rPr>
          <w:rFonts w:ascii="Cambria" w:cs="Cambria" w:eastAsia="Cambria" w:hAnsi="Cambria"/>
          <w:b/>
          <w:bCs/>
          <w:i/>
          <w:iCs/>
          <w:color w:val="8C6A2A"/>
          <w:sz w:val="22"/>
          <w:szCs w:val="22"/>
        </w:rPr>
        <w:t xml:space="preserve">Analogía 2 — El sol: la estrella, su luz y su calor</w:t>
      </w:r>
    </w:p>
    <w:p>
      <w:pPr>
        <w:spacing w:after="120" w:before="0" w:line="320"/>
        <w:jc w:val="both"/>
      </w:pPr>
      <w:r>
        <w:rPr>
          <w:rFonts w:ascii="Cambria" w:cs="Cambria" w:eastAsia="Cambria" w:hAnsi="Cambria"/>
          <w:color w:val="1F1F1F"/>
          <w:sz w:val="22"/>
          <w:szCs w:val="22"/>
        </w:rPr>
        <w:t xml:space="preserve">Una sola fuente del cual proceden luz y calor. ¿Qué ilumina? ¿Qué falla? ¿De qué herejía sería sospechosa?</w:t>
      </w:r>
    </w:p>
    <w:p>
      <w:pPr>
        <w:pStyle w:val="Heading3"/>
        <w:spacing w:after="100" w:before="200"/>
      </w:pPr>
      <w:r>
        <w:rPr>
          <w:rFonts w:ascii="Cambria" w:cs="Cambria" w:eastAsia="Cambria" w:hAnsi="Cambria"/>
          <w:b/>
          <w:bCs/>
          <w:i/>
          <w:iCs/>
          <w:color w:val="8C6A2A"/>
          <w:sz w:val="22"/>
          <w:szCs w:val="22"/>
        </w:rPr>
        <w:t xml:space="preserve">Analogía 3 — El alma humana: memoria, entendimiento y voluntad (San Agustín)</w:t>
      </w:r>
    </w:p>
    <w:p>
      <w:pPr>
        <w:spacing w:after="120" w:before="0" w:line="320"/>
        <w:jc w:val="both"/>
      </w:pPr>
      <w:r>
        <w:rPr>
          <w:rFonts w:ascii="Cambria" w:cs="Cambria" w:eastAsia="Cambria" w:hAnsi="Cambria"/>
          <w:color w:val="1F1F1F"/>
          <w:sz w:val="22"/>
          <w:szCs w:val="22"/>
        </w:rPr>
        <w:t xml:space="preserve">Tres facultades de una sola alma racional. ¿Qué ilumina? ¿Qué falla? ¿Es realmente trinitaria o más bien expresa la unidad de un sujeto?</w:t>
      </w:r>
    </w:p>
    <w:p>
      <w:pPr>
        <w:pStyle w:val="Heading3"/>
        <w:spacing w:after="100" w:before="200"/>
      </w:pPr>
      <w:r>
        <w:rPr>
          <w:rFonts w:ascii="Cambria" w:cs="Cambria" w:eastAsia="Cambria" w:hAnsi="Cambria"/>
          <w:b/>
          <w:bCs/>
          <w:i/>
          <w:iCs/>
          <w:color w:val="8C6A2A"/>
          <w:sz w:val="22"/>
          <w:szCs w:val="22"/>
        </w:rPr>
        <w:t xml:space="preserve">Analogía 4 — El amante, el amado y el amor que los une (San Agustín, Ricardo de San Víctor)</w:t>
      </w:r>
    </w:p>
    <w:p>
      <w:pPr>
        <w:spacing w:after="120" w:before="0" w:line="320"/>
        <w:jc w:val="both"/>
      </w:pPr>
      <w:r>
        <w:rPr>
          <w:rFonts w:ascii="Cambria" w:cs="Cambria" w:eastAsia="Cambria" w:hAnsi="Cambria"/>
          <w:color w:val="1F1F1F"/>
          <w:sz w:val="22"/>
          <w:szCs w:val="22"/>
        </w:rPr>
        <w:t xml:space="preserve">Una comunión donde el amor es real y subsistente. ¿Qué ilumina? ¿Qué falla? ¿De qué herejía habría que cuidarse?</w:t>
      </w:r>
    </w:p>
    <w:p>
      <w:pPr>
        <w:spacing w:after="120" w:before="0" w:line="320"/>
        <w:jc w:val="both"/>
      </w:pPr>
      <w:r>
        <w:rPr>
          <w:rFonts w:ascii="Cambria" w:cs="Cambria" w:eastAsia="Cambria" w:hAnsi="Cambria"/>
          <w:b/>
          <w:bCs/>
          <w:color w:val="1F1F1F"/>
          <w:sz w:val="22"/>
          <w:szCs w:val="22"/>
        </w:rPr>
        <w:t xml:space="preserve">Para terminar la parte: ¿qué condiciones debería cumplir una analogía para no ser herética?</w:t>
      </w:r>
    </w:p>
    <w:p>
      <w:pPr>
        <w:pStyle w:val="Heading1"/>
        <w:pBdr>
          <w:bottom w:val="single" w:color="8C6A2A" w:sz="8" w:space="6"/>
        </w:pBdr>
        <w:spacing w:after="200" w:before="360"/>
      </w:pPr>
      <w:r>
        <w:rPr>
          <w:rFonts w:ascii="Cambria" w:cs="Cambria" w:eastAsia="Cambria" w:hAnsi="Cambria"/>
          <w:b/>
          <w:bCs/>
          <w:color w:val="6B1F2A"/>
          <w:sz w:val="32"/>
          <w:szCs w:val="32"/>
        </w:rPr>
        <w:t xml:space="preserve">Parte 5 — Tres preguntas para la cátedra</w:t>
      </w:r>
    </w:p>
    <w:p>
      <w:pPr>
        <w:spacing w:after="120" w:before="0" w:line="320"/>
        <w:jc w:val="both"/>
      </w:pPr>
      <w:r>
        <w:rPr>
          <w:rFonts w:ascii="Cambria" w:cs="Cambria" w:eastAsia="Cambria" w:hAnsi="Cambria"/>
          <w:i/>
          <w:iCs/>
          <w:color w:val="5A5A5A"/>
          <w:sz w:val="20"/>
          <w:szCs w:val="20"/>
        </w:rPr>
        <w:t xml:space="preserve">Tiempo estimado: 5 minutos.</w:t>
      </w:r>
    </w:p>
    <w:p>
      <w:pPr>
        <w:spacing w:after="120" w:before="0" w:line="320"/>
        <w:jc w:val="both"/>
      </w:pPr>
      <w:r>
        <w:rPr>
          <w:rFonts w:ascii="Cambria" w:cs="Cambria" w:eastAsia="Cambria" w:hAnsi="Cambria"/>
          <w:color w:val="1F1F1F"/>
          <w:sz w:val="22"/>
          <w:szCs w:val="22"/>
        </w:rPr>
        <w:t xml:space="preserve">Para terminar, formula —y trae al aula— tres preguntas que esperas que la sesión te ayude a responder. Te sugiero que cada pregunta corresponda a uno de los siguientes ámbitos:</w:t>
      </w:r>
    </w:p>
    <w:p>
      <w:pPr>
        <w:pStyle w:val="ListParagraph"/>
        <w:numPr>
          <w:ilvl w:val="0"/>
          <w:numId w:val="3"/>
        </w:numPr>
        <w:spacing w:after="100" w:before="60" w:line="300"/>
        <w:jc w:val="both"/>
      </w:pPr>
      <w:r>
        <w:rPr>
          <w:rFonts w:ascii="Cambria" w:cs="Cambria" w:eastAsia="Cambria" w:hAnsi="Cambria"/>
          <w:color w:val="1F1F1F"/>
          <w:sz w:val="22"/>
          <w:szCs w:val="22"/>
        </w:rPr>
        <w:t xml:space="preserve">Una pregunta </w:t>
      </w:r>
      <w:r>
        <w:rPr>
          <w:rFonts w:ascii="Cambria" w:cs="Cambria" w:eastAsia="Cambria" w:hAnsi="Cambria"/>
          <w:b/>
          <w:bCs/>
          <w:color w:val="1F1F1F"/>
          <w:sz w:val="22"/>
          <w:szCs w:val="22"/>
        </w:rPr>
        <w:t xml:space="preserve">bíblica</w:t>
      </w:r>
      <w:r>
        <w:rPr>
          <w:rFonts w:ascii="Cambria" w:cs="Cambria" w:eastAsia="Cambria" w:hAnsi="Cambria"/>
          <w:color w:val="1F1F1F"/>
          <w:sz w:val="22"/>
          <w:szCs w:val="22"/>
        </w:rPr>
        <w:t xml:space="preserve">: algo que viste en la Escritura y deseas profundizar.</w:t>
      </w:r>
    </w:p>
    <w:p>
      <w:pPr>
        <w:pStyle w:val="ListParagraph"/>
        <w:numPr>
          <w:ilvl w:val="0"/>
          <w:numId w:val="3"/>
        </w:numPr>
        <w:spacing w:after="100" w:before="60" w:line="300"/>
        <w:jc w:val="both"/>
      </w:pPr>
      <w:r>
        <w:rPr>
          <w:rFonts w:ascii="Cambria" w:cs="Cambria" w:eastAsia="Cambria" w:hAnsi="Cambria"/>
          <w:color w:val="1F1F1F"/>
          <w:sz w:val="22"/>
          <w:szCs w:val="22"/>
        </w:rPr>
        <w:t xml:space="preserve">Una pregunta </w:t>
      </w:r>
      <w:r>
        <w:rPr>
          <w:rFonts w:ascii="Cambria" w:cs="Cambria" w:eastAsia="Cambria" w:hAnsi="Cambria"/>
          <w:b/>
          <w:bCs/>
          <w:color w:val="1F1F1F"/>
          <w:sz w:val="22"/>
          <w:szCs w:val="22"/>
        </w:rPr>
        <w:t xml:space="preserve">filosófica o conceptual</w:t>
      </w:r>
      <w:r>
        <w:rPr>
          <w:rFonts w:ascii="Cambria" w:cs="Cambria" w:eastAsia="Cambria" w:hAnsi="Cambria"/>
          <w:color w:val="1F1F1F"/>
          <w:sz w:val="22"/>
          <w:szCs w:val="22"/>
        </w:rPr>
        <w:t xml:space="preserve">: sobre persona, naturaleza, relación, sustancia o cualquier término que te resulte oscuro.</w:t>
      </w:r>
    </w:p>
    <w:p>
      <w:pPr>
        <w:pStyle w:val="ListParagraph"/>
        <w:numPr>
          <w:ilvl w:val="0"/>
          <w:numId w:val="3"/>
        </w:numPr>
        <w:spacing w:after="100" w:before="60" w:line="300"/>
        <w:jc w:val="both"/>
      </w:pPr>
      <w:r>
        <w:rPr>
          <w:rFonts w:ascii="Cambria" w:cs="Cambria" w:eastAsia="Cambria" w:hAnsi="Cambria"/>
          <w:color w:val="1F1F1F"/>
          <w:sz w:val="22"/>
          <w:szCs w:val="22"/>
        </w:rPr>
        <w:t xml:space="preserve">Una pregunta </w:t>
      </w:r>
      <w:r>
        <w:rPr>
          <w:rFonts w:ascii="Cambria" w:cs="Cambria" w:eastAsia="Cambria" w:hAnsi="Cambria"/>
          <w:b/>
          <w:bCs/>
          <w:color w:val="1F1F1F"/>
          <w:sz w:val="22"/>
          <w:szCs w:val="22"/>
        </w:rPr>
        <w:t xml:space="preserve">existencial-espiritual</w:t>
      </w:r>
      <w:r>
        <w:rPr>
          <w:rFonts w:ascii="Cambria" w:cs="Cambria" w:eastAsia="Cambria" w:hAnsi="Cambria"/>
          <w:color w:val="1F1F1F"/>
          <w:sz w:val="22"/>
          <w:szCs w:val="22"/>
        </w:rPr>
        <w:t xml:space="preserve">: sobre qué implica para tu vida creer en un Dios trino.</w:t>
      </w:r>
    </w:p>
    <w:p>
      <w:pPr>
        <w:spacing w:after="120" w:before="0" w:line="320"/>
        <w:jc w:val="both"/>
      </w:pPr>
      <w:r>
        <w:rPr>
          <w:rFonts w:ascii="Cambria" w:cs="Cambria" w:eastAsia="Cambria" w:hAnsi="Cambria"/>
          <w:color w:val="1F1F1F"/>
          <w:sz w:val="22"/>
          <w:szCs w:val="22"/>
        </w:rPr>
        <w:t xml:space="preserve">Trae estas tres preguntas por escrito a la sesión. Las recogeremos al inicio o al final de la cátedra y nos ayudarán a orientar la discusión.</w:t>
      </w:r>
    </w:p>
    <w:p>
      <w:pPr>
        <w:pBdr>
          <w:bottom w:val="single" w:color="8C6A2A" w:sz="6" w:space="4"/>
        </w:pBdr>
        <w:spacing w:after="200" w:before="200"/>
      </w:pPr>
      <w:r>
        <w:t xml:space="preserve"/>
      </w:r>
    </w:p>
    <w:p>
      <w:pPr>
        <w:pStyle w:val="Heading1"/>
        <w:pBdr>
          <w:bottom w:val="single" w:color="8C6A2A" w:sz="8" w:space="6"/>
        </w:pBdr>
        <w:spacing w:after="200" w:before="360"/>
      </w:pPr>
      <w:r>
        <w:rPr>
          <w:rFonts w:ascii="Cambria" w:cs="Cambria" w:eastAsia="Cambria" w:hAnsi="Cambria"/>
          <w:b/>
          <w:bCs/>
          <w:color w:val="6B1F2A"/>
          <w:sz w:val="32"/>
          <w:szCs w:val="32"/>
        </w:rPr>
        <w:t xml:space="preserve">Recomendaciones finales</w:t>
      </w:r>
    </w:p>
    <w:p>
      <w:pPr>
        <w:pStyle w:val="ListParagraph"/>
        <w:numPr>
          <w:ilvl w:val="0"/>
          <w:numId w:val="2"/>
        </w:numPr>
        <w:spacing w:after="80" w:before="60" w:line="300"/>
        <w:jc w:val="both"/>
      </w:pPr>
      <w:r>
        <w:rPr>
          <w:rFonts w:ascii="Cambria" w:cs="Cambria" w:eastAsia="Cambria" w:hAnsi="Cambria"/>
          <w:i w:val="false"/>
          <w:iCs w:val="false"/>
          <w:color w:val="1F1F1F"/>
          <w:sz w:val="22"/>
          <w:szCs w:val="22"/>
        </w:rPr>
        <w:t xml:space="preserve">Trabaja con honestidad: no respondas «lo que se espera», sino lo que realmente piensas en este momento.</w:t>
      </w:r>
    </w:p>
    <w:p>
      <w:pPr>
        <w:pStyle w:val="ListParagraph"/>
        <w:numPr>
          <w:ilvl w:val="0"/>
          <w:numId w:val="2"/>
        </w:numPr>
        <w:spacing w:after="80" w:before="60" w:line="300"/>
        <w:jc w:val="both"/>
      </w:pPr>
      <w:r>
        <w:rPr>
          <w:rFonts w:ascii="Cambria" w:cs="Cambria" w:eastAsia="Cambria" w:hAnsi="Cambria"/>
          <w:i w:val="false"/>
          <w:iCs w:val="false"/>
          <w:color w:val="1F1F1F"/>
          <w:sz w:val="22"/>
          <w:szCs w:val="22"/>
        </w:rPr>
        <w:t xml:space="preserve">Si un término te resulta oscuro, anótalo en lugar de buscarlo: la precisión del vocabulario teológico es parte de lo que aprenderemos juntos.</w:t>
      </w:r>
    </w:p>
    <w:p>
      <w:pPr>
        <w:pStyle w:val="ListParagraph"/>
        <w:numPr>
          <w:ilvl w:val="0"/>
          <w:numId w:val="2"/>
        </w:numPr>
        <w:spacing w:after="80" w:before="60" w:line="300"/>
        <w:jc w:val="both"/>
      </w:pPr>
      <w:r>
        <w:rPr>
          <w:rFonts w:ascii="Cambria" w:cs="Cambria" w:eastAsia="Cambria" w:hAnsi="Cambria"/>
          <w:i w:val="false"/>
          <w:iCs w:val="false"/>
          <w:color w:val="1F1F1F"/>
          <w:sz w:val="22"/>
          <w:szCs w:val="22"/>
        </w:rPr>
        <w:t xml:space="preserve">Si en algún momento sientes la tentación de cerrar el cuaderno por dificultad o aburrimiento, recuerda que el cansancio del entendimiento es parte natural del estudio del misterio. Persiste.</w:t>
      </w:r>
    </w:p>
    <w:p>
      <w:pPr>
        <w:pStyle w:val="ListParagraph"/>
        <w:numPr>
          <w:ilvl w:val="0"/>
          <w:numId w:val="2"/>
        </w:numPr>
        <w:spacing w:after="80" w:before="60" w:line="300"/>
        <w:jc w:val="both"/>
      </w:pPr>
      <w:r>
        <w:rPr>
          <w:rFonts w:ascii="Cambria" w:cs="Cambria" w:eastAsia="Cambria" w:hAnsi="Cambria"/>
          <w:i w:val="false"/>
          <w:iCs w:val="false"/>
          <w:color w:val="1F1F1F"/>
          <w:sz w:val="22"/>
          <w:szCs w:val="22"/>
        </w:rPr>
        <w:t xml:space="preserve">Termina con un breve momento de oración: pídele a Dios que te dé entendimiento y humildad para acoger la verdad revelada.</w:t>
      </w:r>
    </w:p>
    <w:p>
      <w:pPr>
        <w:pStyle w:val="Heading1"/>
        <w:pBdr>
          <w:bottom w:val="single" w:color="8C6A2A" w:sz="8" w:space="6"/>
        </w:pBdr>
        <w:spacing w:after="200" w:before="360"/>
      </w:pPr>
      <w:r>
        <w:rPr>
          <w:rFonts w:ascii="Cambria" w:cs="Cambria" w:eastAsia="Cambria" w:hAnsi="Cambria"/>
          <w:b/>
          <w:bCs/>
          <w:color w:val="6B1F2A"/>
          <w:sz w:val="32"/>
          <w:szCs w:val="32"/>
        </w:rPr>
        <w:t xml:space="preserve">Criterios de evaluación (entrega opcional)</w:t>
      </w:r>
    </w:p>
    <w:p>
      <w:pPr>
        <w:spacing w:after="120" w:before="0" w:line="320"/>
        <w:jc w:val="both"/>
      </w:pPr>
      <w:r>
        <w:rPr>
          <w:rFonts w:ascii="Cambria" w:cs="Cambria" w:eastAsia="Cambria" w:hAnsi="Cambria"/>
          <w:color w:val="1F1F1F"/>
          <w:sz w:val="22"/>
          <w:szCs w:val="22"/>
        </w:rPr>
        <w:t xml:space="preserve">Si tu profesor solicita la entrega del trabajo, será valorado conforme a los siguientes criterios: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40"/>
        <w:gridCol w:w="2240"/>
        <w:gridCol w:w="2240"/>
        <w:gridCol w:w="2240"/>
      </w:tblGrid>
      <w:tr>
        <w:trPr>
          <w:tblHeader/>
        </w:trPr>
        <w:tc>
          <w:tcPr>
            <w:tcW w:type="dxa" w:w="2640"/>
            <w:tcBorders>
              <w:top w:val="single" w:color="BBBBBB" w:sz="4"/>
              <w:left w:val="single" w:color="BBBBBB" w:sz="4"/>
              <w:bottom w:val="single" w:color="BBBBBB" w:sz="4"/>
              <w:right w:val="single" w:color="BBBBBB" w:sz="4"/>
            </w:tcBorders>
            <w:shd w:fill="6B1F2A" w:val="clear"/>
            <w:tcMar>
              <w:top w:type="dxa" w:w="100"/>
              <w:left w:type="dxa" w:w="140"/>
              <w:bottom w:type="dxa" w:w="100"/>
              <w:right w:type="dxa" w:w="140"/>
            </w:tcMar>
          </w:tcPr>
          <w:p>
            <w:pPr>
              <w:jc w:val="center"/>
            </w:pPr>
            <w:r>
              <w:rPr>
                <w:rFonts w:ascii="Calibri" w:cs="Calibri" w:eastAsia="Calibri" w:hAnsi="Calibri"/>
                <w:b/>
                <w:bCs/>
                <w:color w:val="FFFFFF"/>
                <w:sz w:val="20"/>
                <w:szCs w:val="20"/>
              </w:rPr>
              <w:t xml:space="preserve">Criterio</w:t>
            </w:r>
          </w:p>
        </w:tc>
        <w:tc>
          <w:tcPr>
            <w:tcW w:type="dxa" w:w="2240"/>
            <w:tcBorders>
              <w:top w:val="single" w:color="BBBBBB" w:sz="4"/>
              <w:left w:val="single" w:color="BBBBBB" w:sz="4"/>
              <w:bottom w:val="single" w:color="BBBBBB" w:sz="4"/>
              <w:right w:val="single" w:color="BBBBBB" w:sz="4"/>
            </w:tcBorders>
            <w:shd w:fill="6B1F2A" w:val="clear"/>
            <w:tcMar>
              <w:top w:type="dxa" w:w="100"/>
              <w:left w:type="dxa" w:w="140"/>
              <w:bottom w:type="dxa" w:w="100"/>
              <w:right w:type="dxa" w:w="140"/>
            </w:tcMar>
          </w:tcPr>
          <w:p>
            <w:pPr>
              <w:jc w:val="center"/>
            </w:pPr>
            <w:r>
              <w:rPr>
                <w:rFonts w:ascii="Calibri" w:cs="Calibri" w:eastAsia="Calibri" w:hAnsi="Calibri"/>
                <w:b/>
                <w:bCs/>
                <w:color w:val="FFFFFF"/>
                <w:sz w:val="20"/>
                <w:szCs w:val="20"/>
              </w:rPr>
              <w:t xml:space="preserve">Excelente</w:t>
            </w:r>
          </w:p>
        </w:tc>
        <w:tc>
          <w:tcPr>
            <w:tcW w:type="dxa" w:w="2240"/>
            <w:tcBorders>
              <w:top w:val="single" w:color="BBBBBB" w:sz="4"/>
              <w:left w:val="single" w:color="BBBBBB" w:sz="4"/>
              <w:bottom w:val="single" w:color="BBBBBB" w:sz="4"/>
              <w:right w:val="single" w:color="BBBBBB" w:sz="4"/>
            </w:tcBorders>
            <w:shd w:fill="6B1F2A" w:val="clear"/>
            <w:tcMar>
              <w:top w:type="dxa" w:w="100"/>
              <w:left w:type="dxa" w:w="140"/>
              <w:bottom w:type="dxa" w:w="100"/>
              <w:right w:type="dxa" w:w="140"/>
            </w:tcMar>
          </w:tcPr>
          <w:p>
            <w:pPr>
              <w:jc w:val="center"/>
            </w:pPr>
            <w:r>
              <w:rPr>
                <w:rFonts w:ascii="Calibri" w:cs="Calibri" w:eastAsia="Calibri" w:hAnsi="Calibri"/>
                <w:b/>
                <w:bCs/>
                <w:color w:val="FFFFFF"/>
                <w:sz w:val="20"/>
                <w:szCs w:val="20"/>
              </w:rPr>
              <w:t xml:space="preserve">Suficiente</w:t>
            </w:r>
          </w:p>
        </w:tc>
        <w:tc>
          <w:tcPr>
            <w:tcW w:type="dxa" w:w="2240"/>
            <w:tcBorders>
              <w:top w:val="single" w:color="BBBBBB" w:sz="4"/>
              <w:left w:val="single" w:color="BBBBBB" w:sz="4"/>
              <w:bottom w:val="single" w:color="BBBBBB" w:sz="4"/>
              <w:right w:val="single" w:color="BBBBBB" w:sz="4"/>
            </w:tcBorders>
            <w:shd w:fill="6B1F2A" w:val="clear"/>
            <w:tcMar>
              <w:top w:type="dxa" w:w="100"/>
              <w:left w:type="dxa" w:w="140"/>
              <w:bottom w:type="dxa" w:w="100"/>
              <w:right w:type="dxa" w:w="140"/>
            </w:tcMar>
          </w:tcPr>
          <w:p>
            <w:pPr>
              <w:jc w:val="center"/>
            </w:pPr>
            <w:r>
              <w:rPr>
                <w:rFonts w:ascii="Calibri" w:cs="Calibri" w:eastAsia="Calibri" w:hAnsi="Calibri"/>
                <w:b/>
                <w:bCs/>
                <w:color w:val="FFFFFF"/>
                <w:sz w:val="20"/>
                <w:szCs w:val="20"/>
              </w:rPr>
              <w:t xml:space="preserve">Insuficiente</w:t>
            </w:r>
          </w:p>
        </w:tc>
      </w:tr>
      <w:tr>
        <w:tc>
          <w:tcPr>
            <w:tcW w:type="dxa" w:w="26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bCs/>
                <w:color w:val="1F1F1F"/>
                <w:sz w:val="20"/>
                <w:szCs w:val="20"/>
              </w:rPr>
              <w:t xml:space="preserve">Reflexión personal inicial</w:t>
            </w:r>
          </w:p>
        </w:tc>
        <w:tc>
          <w:tcPr>
            <w:tcW w:type="dxa" w:w="22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val="false"/>
                <w:bCs w:val="false"/>
                <w:color w:val="1F1F1F"/>
                <w:sz w:val="20"/>
                <w:szCs w:val="20"/>
              </w:rPr>
              <w:t xml:space="preserve">Respuestas honestas, matizadas y propias.</w:t>
            </w:r>
          </w:p>
        </w:tc>
        <w:tc>
          <w:tcPr>
            <w:tcW w:type="dxa" w:w="22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val="false"/>
                <w:bCs w:val="false"/>
                <w:color w:val="1F1F1F"/>
                <w:sz w:val="20"/>
                <w:szCs w:val="20"/>
              </w:rPr>
              <w:t xml:space="preserve">Respuestas correctas pero superficiales.</w:t>
            </w:r>
          </w:p>
        </w:tc>
        <w:tc>
          <w:tcPr>
            <w:tcW w:type="dxa" w:w="22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val="false"/>
                <w:bCs w:val="false"/>
                <w:color w:val="1F1F1F"/>
                <w:sz w:val="20"/>
                <w:szCs w:val="20"/>
              </w:rPr>
              <w:t xml:space="preserve">Respuestas vagas o incompletas.</w:t>
            </w:r>
          </w:p>
        </w:tc>
      </w:tr>
      <w:tr>
        <w:tc>
          <w:tcPr>
            <w:tcW w:type="dxa" w:w="26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bCs/>
                <w:color w:val="1F1F1F"/>
                <w:sz w:val="20"/>
                <w:szCs w:val="20"/>
              </w:rPr>
              <w:t xml:space="preserve">Trabajo con los textos bíblicos</w:t>
            </w:r>
          </w:p>
        </w:tc>
        <w:tc>
          <w:tcPr>
            <w:tcW w:type="dxa" w:w="22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val="false"/>
                <w:bCs w:val="false"/>
                <w:color w:val="1F1F1F"/>
                <w:sz w:val="20"/>
                <w:szCs w:val="20"/>
              </w:rPr>
              <w:t xml:space="preserve">Lectura atenta con observaciones propias y precisión textual.</w:t>
            </w:r>
          </w:p>
        </w:tc>
        <w:tc>
          <w:tcPr>
            <w:tcW w:type="dxa" w:w="22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val="false"/>
                <w:bCs w:val="false"/>
                <w:color w:val="1F1F1F"/>
                <w:sz w:val="20"/>
                <w:szCs w:val="20"/>
              </w:rPr>
              <w:t xml:space="preserve">Lectura correcta sin observación personal.</w:t>
            </w:r>
          </w:p>
        </w:tc>
        <w:tc>
          <w:tcPr>
            <w:tcW w:type="dxa" w:w="22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val="false"/>
                <w:bCs w:val="false"/>
                <w:color w:val="1F1F1F"/>
                <w:sz w:val="20"/>
                <w:szCs w:val="20"/>
              </w:rPr>
              <w:t xml:space="preserve">Pasajes no leídos o respondidos.</w:t>
            </w:r>
          </w:p>
        </w:tc>
      </w:tr>
      <w:tr>
        <w:tc>
          <w:tcPr>
            <w:tcW w:type="dxa" w:w="26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bCs/>
                <w:color w:val="1F1F1F"/>
                <w:sz w:val="20"/>
                <w:szCs w:val="20"/>
              </w:rPr>
              <w:t xml:space="preserve">Comprensión de los conceptos filosóficos</w:t>
            </w:r>
          </w:p>
        </w:tc>
        <w:tc>
          <w:tcPr>
            <w:tcW w:type="dxa" w:w="22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val="false"/>
                <w:bCs w:val="false"/>
                <w:color w:val="1F1F1F"/>
                <w:sz w:val="20"/>
                <w:szCs w:val="20"/>
              </w:rPr>
              <w:t xml:space="preserve">Definiciones claras y ejemplos pertinentes.</w:t>
            </w:r>
          </w:p>
        </w:tc>
        <w:tc>
          <w:tcPr>
            <w:tcW w:type="dxa" w:w="22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val="false"/>
                <w:bCs w:val="false"/>
                <w:color w:val="1F1F1F"/>
                <w:sz w:val="20"/>
                <w:szCs w:val="20"/>
              </w:rPr>
              <w:t xml:space="preserve">Definiciones adecuadas, ejemplos básicos.</w:t>
            </w:r>
          </w:p>
        </w:tc>
        <w:tc>
          <w:tcPr>
            <w:tcW w:type="dxa" w:w="22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val="false"/>
                <w:bCs w:val="false"/>
                <w:color w:val="1F1F1F"/>
                <w:sz w:val="20"/>
                <w:szCs w:val="20"/>
              </w:rPr>
              <w:t xml:space="preserve">Confusión conceptual evidente.</w:t>
            </w:r>
          </w:p>
        </w:tc>
      </w:tr>
      <w:tr>
        <w:tc>
          <w:tcPr>
            <w:tcW w:type="dxa" w:w="26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bCs/>
                <w:color w:val="1F1F1F"/>
                <w:sz w:val="20"/>
                <w:szCs w:val="20"/>
              </w:rPr>
              <w:t xml:space="preserve">Análisis crítico de analogías</w:t>
            </w:r>
          </w:p>
        </w:tc>
        <w:tc>
          <w:tcPr>
            <w:tcW w:type="dxa" w:w="22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val="false"/>
                <w:bCs w:val="false"/>
                <w:color w:val="1F1F1F"/>
                <w:sz w:val="20"/>
                <w:szCs w:val="20"/>
              </w:rPr>
              <w:t xml:space="preserve">Identifica con precisión la herejía implícita en cada analogía.</w:t>
            </w:r>
          </w:p>
        </w:tc>
        <w:tc>
          <w:tcPr>
            <w:tcW w:type="dxa" w:w="22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val="false"/>
                <w:bCs w:val="false"/>
                <w:color w:val="1F1F1F"/>
                <w:sz w:val="20"/>
                <w:szCs w:val="20"/>
              </w:rPr>
              <w:t xml:space="preserve">Identifica algunas limitaciones.</w:t>
            </w:r>
          </w:p>
        </w:tc>
        <w:tc>
          <w:tcPr>
            <w:tcW w:type="dxa" w:w="22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val="false"/>
                <w:bCs w:val="false"/>
                <w:color w:val="1F1F1F"/>
                <w:sz w:val="20"/>
                <w:szCs w:val="20"/>
              </w:rPr>
              <w:t xml:space="preserve">Acepta la analogía sin crítica.</w:t>
            </w:r>
          </w:p>
        </w:tc>
      </w:tr>
      <w:tr>
        <w:tc>
          <w:tcPr>
            <w:tcW w:type="dxa" w:w="26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bCs/>
                <w:color w:val="1F1F1F"/>
                <w:sz w:val="20"/>
                <w:szCs w:val="20"/>
              </w:rPr>
              <w:t xml:space="preserve">Formulación de preguntas</w:t>
            </w:r>
          </w:p>
        </w:tc>
        <w:tc>
          <w:tcPr>
            <w:tcW w:type="dxa" w:w="22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val="false"/>
                <w:bCs w:val="false"/>
                <w:color w:val="1F1F1F"/>
                <w:sz w:val="20"/>
                <w:szCs w:val="20"/>
              </w:rPr>
              <w:t xml:space="preserve">Tres preguntas precisas, una por cada ámbito.</w:t>
            </w:r>
          </w:p>
        </w:tc>
        <w:tc>
          <w:tcPr>
            <w:tcW w:type="dxa" w:w="22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val="false"/>
                <w:bCs w:val="false"/>
                <w:color w:val="1F1F1F"/>
                <w:sz w:val="20"/>
                <w:szCs w:val="20"/>
              </w:rPr>
              <w:t xml:space="preserve">Preguntas correctas pero genéricas.</w:t>
            </w:r>
          </w:p>
        </w:tc>
        <w:tc>
          <w:tcPr>
            <w:tcW w:type="dxa" w:w="2240"/>
            <w:tcBorders>
              <w:top w:val="single" w:color="BBBBBB" w:sz="4"/>
              <w:left w:val="single" w:color="BBBBBB" w:sz="4"/>
              <w:bottom w:val="single" w:color="BBBBBB" w:sz="4"/>
              <w:right w:val="single" w:color="BBBBBB" w:sz="4"/>
            </w:tcBorders>
            <w:tcMar>
              <w:top w:type="dxa" w:w="100"/>
              <w:left w:type="dxa" w:w="140"/>
              <w:bottom w:type="dxa" w:w="100"/>
              <w:right w:type="dxa" w:w="140"/>
            </w:tcMar>
          </w:tcPr>
          <w:p>
            <w:pPr>
              <w:jc w:val="left"/>
            </w:pPr>
            <w:r>
              <w:rPr>
                <w:rFonts w:ascii="Calibri" w:cs="Calibri" w:eastAsia="Calibri" w:hAnsi="Calibri"/>
                <w:b w:val="false"/>
                <w:bCs w:val="false"/>
                <w:color w:val="1F1F1F"/>
                <w:sz w:val="20"/>
                <w:szCs w:val="20"/>
              </w:rPr>
              <w:t xml:space="preserve">Preguntas ausentes o irrelevantes.</w:t>
            </w:r>
          </w:p>
        </w:tc>
      </w:tr>
    </w:tbl>
    <w:p>
      <w:pPr>
        <w:spacing w:before="240"/>
      </w:pPr>
      <w:r>
        <w:t xml:space="preserve"/>
      </w:r>
    </w:p>
    <w:p>
      <w:pPr>
        <w:spacing w:before="200"/>
        <w:jc w:val="center"/>
      </w:pPr>
      <w:r>
        <w:rPr>
          <w:rFonts w:ascii="Cambria" w:cs="Cambria" w:eastAsia="Cambria" w:hAnsi="Cambria"/>
          <w:i/>
          <w:iCs/>
          <w:color w:val="8C6A2A"/>
          <w:sz w:val="22"/>
          <w:szCs w:val="22"/>
        </w:rPr>
        <w:t xml:space="preserve">Ad maiorem Dei gloriam</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5A5A"/>
        <w:sz w:val="18"/>
        <w:szCs w:val="18"/>
      </w:rPr>
      <w:t xml:space="preserve">Teología Dogmática · página </w:t>
    </w:r>
    <w:r>
      <w:rPr>
        <w:rFonts w:ascii="Calibri" w:cs="Calibri" w:eastAsia="Calibri" w:hAnsi="Calibri"/>
        <w:color w:val="5A5A5A"/>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Calibri" w:cs="Calibri" w:eastAsia="Calibri" w:hAnsi="Calibri"/>
        <w:i/>
        <w:iCs/>
        <w:color w:val="5A5A5A"/>
        <w:sz w:val="18"/>
        <w:szCs w:val="18"/>
      </w:rPr>
      <w:t xml:space="preserve">Actividad previa · Antes del misterio: dispongamos el oído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cs="Cambria" w:eastAsia="Cambria" w:hAnsi="Cambria"/>
        <w:color w:val="1F1F1F"/>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Cambria" w:cs="Cambria" w:eastAsia="Cambria" w:hAnsi="Cambria"/>
      <w:b/>
      <w:bCs/>
      <w:color w:val="6B1F2A"/>
      <w:sz w:val="32"/>
      <w:szCs w:val="32"/>
    </w:rPr>
  </w:style>
  <w:style w:type="paragraph" w:styleId="Heading2">
    <w:name w:val="Heading 2"/>
    <w:basedOn w:val="Normal"/>
    <w:next w:val="Normal"/>
    <w:qFormat/>
    <w:pPr>
      <w:spacing w:after="140" w:before="280"/>
      <w:outlineLvl w:val="1"/>
    </w:pPr>
    <w:rPr>
      <w:rFonts w:ascii="Cambria" w:cs="Cambria" w:eastAsia="Cambria" w:hAnsi="Cambria"/>
      <w:b/>
      <w:bCs/>
      <w:color w:val="6B1F2A"/>
      <w:sz w:val="26"/>
      <w:szCs w:val="26"/>
    </w:rPr>
  </w:style>
  <w:style w:type="paragraph" w:styleId="Heading3">
    <w:name w:val="Heading 3"/>
    <w:basedOn w:val="Normal"/>
    <w:next w:val="Normal"/>
    <w:qFormat/>
    <w:pPr>
      <w:spacing w:after="100" w:before="200"/>
      <w:outlineLvl w:val="2"/>
    </w:pPr>
    <w:rPr>
      <w:rFonts w:ascii="Cambria" w:cs="Cambria" w:eastAsia="Cambria" w:hAnsi="Cambria"/>
      <w:b/>
      <w:bCs/>
      <w:i/>
      <w:iCs/>
      <w:color w:val="8C6A2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2026-04-28T18:25:11.209Z</dcterms:created>
  <dcterms:modified xsi:type="dcterms:W3CDTF">2026-04-28T18:25:11.209Z</dcterms:modified>
</cp:coreProperties>
</file>

<file path=docProps/custom.xml><?xml version="1.0" encoding="utf-8"?>
<Properties xmlns="http://schemas.openxmlformats.org/officeDocument/2006/custom-properties" xmlns:vt="http://schemas.openxmlformats.org/officeDocument/2006/docPropsVTypes"/>
</file>